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BC4E" w14:textId="77777777" w:rsidR="00536EE7" w:rsidRPr="00536EE7" w:rsidRDefault="00536EE7" w:rsidP="00536EE7">
      <w:pPr>
        <w:pStyle w:val="Bezproreda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hAnsi="Book Antiqua" w:cstheme="minorHAnsi"/>
          <w:sz w:val="20"/>
          <w:szCs w:val="20"/>
        </w:rPr>
        <w:t xml:space="preserve">           </w:t>
      </w:r>
      <w:r w:rsidRPr="00536EE7">
        <w:rPr>
          <w:rFonts w:ascii="Book Antiqua" w:hAnsi="Book Antiqua"/>
          <w:i/>
          <w:noProof/>
          <w:sz w:val="20"/>
          <w:szCs w:val="20"/>
        </w:rPr>
        <w:drawing>
          <wp:inline distT="0" distB="0" distL="0" distR="0" wp14:anchorId="507B10C5" wp14:editId="1C3F3B2C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E130" w14:textId="77777777" w:rsidR="00536EE7" w:rsidRPr="00536EE7" w:rsidRDefault="00536EE7" w:rsidP="00536E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4B29DB02" w14:textId="77777777" w:rsidR="00536EE7" w:rsidRPr="00536EE7" w:rsidRDefault="00536EE7" w:rsidP="00536EE7">
      <w:pPr>
        <w:spacing w:after="0"/>
        <w:rPr>
          <w:rFonts w:ascii="Book Antiqua" w:hAnsi="Book Antiqua"/>
          <w:sz w:val="20"/>
          <w:szCs w:val="20"/>
        </w:rPr>
      </w:pPr>
      <w:r w:rsidRPr="00536EE7">
        <w:rPr>
          <w:rFonts w:ascii="Book Antiqua" w:hAnsi="Book Antiqua"/>
          <w:sz w:val="20"/>
          <w:szCs w:val="20"/>
        </w:rPr>
        <w:t>REPUBLIKA HRVATSKA</w:t>
      </w:r>
    </w:p>
    <w:p w14:paraId="1FC3BD23" w14:textId="77777777" w:rsidR="00536EE7" w:rsidRPr="00536EE7" w:rsidRDefault="00536EE7" w:rsidP="00536EE7">
      <w:pPr>
        <w:spacing w:after="0"/>
        <w:jc w:val="both"/>
        <w:rPr>
          <w:rFonts w:ascii="Book Antiqua" w:hAnsi="Book Antiqua"/>
          <w:sz w:val="20"/>
          <w:szCs w:val="20"/>
        </w:rPr>
      </w:pPr>
      <w:r w:rsidRPr="00536EE7">
        <w:rPr>
          <w:rFonts w:ascii="Book Antiqua" w:hAnsi="Book Antiqua"/>
          <w:sz w:val="20"/>
          <w:szCs w:val="20"/>
        </w:rPr>
        <w:t>VUKOVARSKO-SRIJEMSKA ŽUPANIJA</w:t>
      </w:r>
    </w:p>
    <w:p w14:paraId="333BA049" w14:textId="77777777" w:rsidR="00536EE7" w:rsidRPr="00536EE7" w:rsidRDefault="00536EE7" w:rsidP="00536EE7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536EE7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0CDC626" wp14:editId="31377E5E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0EFAE" w14:textId="77777777" w:rsidR="00536EE7" w:rsidRPr="00536EE7" w:rsidRDefault="00536EE7" w:rsidP="00536EE7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536EE7">
        <w:rPr>
          <w:rFonts w:ascii="Book Antiqua" w:hAnsi="Book Antiqua"/>
          <w:b/>
          <w:sz w:val="20"/>
          <w:szCs w:val="20"/>
        </w:rPr>
        <w:t>OPĆINA TOVARNIK</w:t>
      </w:r>
    </w:p>
    <w:p w14:paraId="1A77B3EA" w14:textId="77777777" w:rsidR="00536EE7" w:rsidRPr="00536EE7" w:rsidRDefault="00536EE7" w:rsidP="00536EE7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7D3DD958" w14:textId="77777777" w:rsidR="00536EE7" w:rsidRPr="00536EE7" w:rsidRDefault="00536EE7" w:rsidP="00536EE7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536EE7">
        <w:rPr>
          <w:rFonts w:ascii="Book Antiqua" w:hAnsi="Book Antiqua"/>
          <w:b/>
          <w:sz w:val="20"/>
          <w:szCs w:val="20"/>
        </w:rPr>
        <w:t>OPĆINSKI NAČELNIK</w:t>
      </w:r>
    </w:p>
    <w:p w14:paraId="48C7EDCB" w14:textId="77777777" w:rsidR="00536EE7" w:rsidRPr="00536EE7" w:rsidRDefault="00536EE7" w:rsidP="00536EE7">
      <w:pPr>
        <w:spacing w:after="0"/>
        <w:rPr>
          <w:rFonts w:ascii="Book Antiqua" w:hAnsi="Book Antiqua"/>
          <w:sz w:val="20"/>
          <w:szCs w:val="20"/>
        </w:rPr>
      </w:pPr>
    </w:p>
    <w:p w14:paraId="38FA6315" w14:textId="77777777" w:rsidR="00536EE7" w:rsidRPr="00536EE7" w:rsidRDefault="00536EE7" w:rsidP="00536EE7">
      <w:pPr>
        <w:spacing w:after="0"/>
        <w:rPr>
          <w:rFonts w:ascii="Book Antiqua" w:hAnsi="Book Antiqua"/>
          <w:sz w:val="20"/>
          <w:szCs w:val="20"/>
        </w:rPr>
      </w:pPr>
      <w:r w:rsidRPr="00536EE7">
        <w:rPr>
          <w:rFonts w:ascii="Book Antiqua" w:hAnsi="Book Antiqua"/>
          <w:sz w:val="20"/>
          <w:szCs w:val="20"/>
        </w:rPr>
        <w:t>KLASA: 245-02/26-01/01</w:t>
      </w:r>
    </w:p>
    <w:p w14:paraId="78B7EA67" w14:textId="16EF74E1" w:rsidR="00536EE7" w:rsidRPr="00536EE7" w:rsidRDefault="00536EE7" w:rsidP="00536EE7">
      <w:pPr>
        <w:spacing w:after="0"/>
        <w:rPr>
          <w:rFonts w:ascii="Book Antiqua" w:hAnsi="Book Antiqua"/>
          <w:sz w:val="20"/>
          <w:szCs w:val="20"/>
        </w:rPr>
      </w:pPr>
      <w:r w:rsidRPr="00536EE7">
        <w:rPr>
          <w:rFonts w:ascii="Book Antiqua" w:hAnsi="Book Antiqua"/>
          <w:sz w:val="20"/>
          <w:szCs w:val="20"/>
        </w:rPr>
        <w:t>URBROJ:2196-28-03-26-</w:t>
      </w:r>
      <w:r w:rsidRPr="00536EE7">
        <w:rPr>
          <w:rFonts w:ascii="Book Antiqua" w:hAnsi="Book Antiqua"/>
          <w:sz w:val="20"/>
          <w:szCs w:val="20"/>
        </w:rPr>
        <w:t>3</w:t>
      </w:r>
    </w:p>
    <w:p w14:paraId="42A86016" w14:textId="77777777" w:rsidR="00536EE7" w:rsidRPr="00536EE7" w:rsidRDefault="00536EE7" w:rsidP="00536EE7">
      <w:pPr>
        <w:spacing w:after="0"/>
        <w:rPr>
          <w:rFonts w:ascii="Book Antiqua" w:hAnsi="Book Antiqua"/>
          <w:sz w:val="20"/>
          <w:szCs w:val="20"/>
        </w:rPr>
      </w:pPr>
      <w:r w:rsidRPr="00536EE7">
        <w:rPr>
          <w:rFonts w:ascii="Book Antiqua" w:hAnsi="Book Antiqua"/>
          <w:sz w:val="20"/>
          <w:szCs w:val="20"/>
        </w:rPr>
        <w:t xml:space="preserve">Tovarnik, 25. svibnja 2026. </w:t>
      </w:r>
    </w:p>
    <w:p w14:paraId="1F07F73E" w14:textId="77777777" w:rsidR="00AA7002" w:rsidRPr="00536EE7" w:rsidRDefault="00AA7002" w:rsidP="00AA7002">
      <w:pPr>
        <w:pStyle w:val="Bezproreda"/>
        <w:rPr>
          <w:rFonts w:ascii="Book Antiqua" w:hAnsi="Book Antiqua" w:cstheme="minorHAnsi"/>
          <w:sz w:val="20"/>
          <w:szCs w:val="20"/>
        </w:rPr>
      </w:pPr>
    </w:p>
    <w:p w14:paraId="41425972" w14:textId="78081B85" w:rsidR="00AA7002" w:rsidRPr="00536EE7" w:rsidRDefault="00AA7002" w:rsidP="00536EE7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Temeljem Programa aktivnosti  u provedbi posebnih mjera zaštite od požara od interesa za Republiku Hrvatsku u 202</w:t>
      </w:r>
      <w:r w:rsidR="004E18A9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(Zaključak Vlade Republike Hrvatske, KLASA: 022-03/2</w:t>
      </w:r>
      <w:r w:rsidR="00FD3AED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-07/</w:t>
      </w:r>
      <w:r w:rsidR="00FD3AED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45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, URBROJ: 50301-29/23-2</w:t>
      </w:r>
      <w:r w:rsidR="00FD3AED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-2 od </w:t>
      </w:r>
      <w:r w:rsidR="00FD3AED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26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veljače 202</w:t>
      </w:r>
      <w:r w:rsidR="00FD3AED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godine) i članka 48. Statuta Općine To</w:t>
      </w:r>
      <w:r w:rsidR="00FC55C7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varnik</w:t>
      </w:r>
      <w:r w:rsid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( „Službeni vjesnik“ Vukovarsko-srijemske županije br. </w:t>
      </w:r>
      <w:r w:rsidR="00536EE7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3/22, 9/25 )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Općinski načelnik Općine To</w:t>
      </w:r>
      <w:r w:rsidR="00FC55C7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="008B6773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dana </w:t>
      </w:r>
      <w:r w:rsidR="00FC55C7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25. svibnja </w:t>
      </w:r>
      <w:r w:rsidR="008B6773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202</w:t>
      </w:r>
      <w:r w:rsidR="003015AB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B6773"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. godine </w:t>
      </w:r>
      <w:r w:rsidRP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>donosi</w:t>
      </w:r>
      <w:r w:rsidR="00536EE7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</w:p>
    <w:p w14:paraId="296E4D52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079913A4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16932DAF" w14:textId="77777777" w:rsidR="00AA7002" w:rsidRPr="00536EE7" w:rsidRDefault="00AA7002" w:rsidP="00AA7002">
      <w:pPr>
        <w:pStyle w:val="Bezproreda"/>
        <w:jc w:val="center"/>
        <w:rPr>
          <w:rFonts w:ascii="Book Antiqua" w:hAnsi="Book Antiqua" w:cstheme="minorHAnsi"/>
          <w:b/>
          <w:sz w:val="20"/>
          <w:szCs w:val="20"/>
        </w:rPr>
      </w:pPr>
      <w:r w:rsidRPr="00536EE7">
        <w:rPr>
          <w:rFonts w:ascii="Book Antiqua" w:hAnsi="Book Antiqua" w:cstheme="minorHAnsi"/>
          <w:b/>
          <w:sz w:val="20"/>
          <w:szCs w:val="20"/>
        </w:rPr>
        <w:t>ODLUKU</w:t>
      </w:r>
    </w:p>
    <w:p w14:paraId="274C4168" w14:textId="77777777" w:rsidR="00AA7002" w:rsidRPr="00536EE7" w:rsidRDefault="00AA7002" w:rsidP="00AA7002">
      <w:pPr>
        <w:pStyle w:val="Bezproreda"/>
        <w:jc w:val="center"/>
        <w:rPr>
          <w:rFonts w:ascii="Book Antiqua" w:hAnsi="Book Antiqua" w:cstheme="minorHAnsi"/>
          <w:b/>
          <w:sz w:val="20"/>
          <w:szCs w:val="20"/>
        </w:rPr>
      </w:pPr>
      <w:r w:rsidRPr="00536EE7">
        <w:rPr>
          <w:rFonts w:ascii="Book Antiqua" w:hAnsi="Book Antiqua" w:cstheme="minorHAnsi"/>
          <w:b/>
          <w:sz w:val="20"/>
          <w:szCs w:val="20"/>
        </w:rPr>
        <w:t>o određivanju zapovjednog mjesta za koordinaciju gašenja požara sukladno odredbama plana intervencija kod velikih požara otvorenog prostora na teritoriju Republike Hrvatske</w:t>
      </w:r>
    </w:p>
    <w:p w14:paraId="3375FA6A" w14:textId="77777777" w:rsidR="00AA7002" w:rsidRPr="00536EE7" w:rsidRDefault="00AA7002" w:rsidP="00AA7002">
      <w:pPr>
        <w:pStyle w:val="Bezproreda"/>
        <w:jc w:val="center"/>
        <w:rPr>
          <w:rFonts w:ascii="Book Antiqua" w:hAnsi="Book Antiqua" w:cstheme="minorHAnsi"/>
          <w:b/>
          <w:sz w:val="20"/>
          <w:szCs w:val="20"/>
        </w:rPr>
      </w:pPr>
    </w:p>
    <w:p w14:paraId="501480DC" w14:textId="77777777" w:rsidR="00AA7002" w:rsidRPr="00536EE7" w:rsidRDefault="00AA7002" w:rsidP="00AA7002">
      <w:pPr>
        <w:pStyle w:val="Bezproreda"/>
        <w:jc w:val="center"/>
        <w:rPr>
          <w:rFonts w:ascii="Book Antiqua" w:hAnsi="Book Antiqua" w:cstheme="minorHAnsi"/>
          <w:sz w:val="20"/>
          <w:szCs w:val="20"/>
        </w:rPr>
      </w:pPr>
    </w:p>
    <w:p w14:paraId="3DA05548" w14:textId="32B16451" w:rsidR="00AA7002" w:rsidRPr="008870FD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hAnsi="Book Antiqua" w:cstheme="minorHAnsi"/>
          <w:sz w:val="20"/>
          <w:szCs w:val="20"/>
        </w:rPr>
        <w:t>1. Obvezuje se DVD To</w:t>
      </w:r>
      <w:r w:rsidR="00FC55C7" w:rsidRPr="00536EE7">
        <w:rPr>
          <w:rFonts w:ascii="Book Antiqua" w:hAnsi="Book Antiqua" w:cstheme="minorHAnsi"/>
          <w:sz w:val="20"/>
          <w:szCs w:val="20"/>
        </w:rPr>
        <w:t xml:space="preserve">varnik </w:t>
      </w:r>
      <w:r w:rsidRPr="00536EE7">
        <w:rPr>
          <w:rFonts w:ascii="Book Antiqua" w:hAnsi="Book Antiqua" w:cstheme="minorHAnsi"/>
          <w:sz w:val="20"/>
          <w:szCs w:val="20"/>
        </w:rPr>
        <w:t xml:space="preserve"> na organizaciju stalnog dežurstva u vrijeme zriobe i žetve strnih žitarica, a odgovorna osoba za provođenje mjera zaštite od požara je </w:t>
      </w:r>
      <w:r w:rsidRPr="008870FD">
        <w:rPr>
          <w:rFonts w:ascii="Book Antiqua" w:hAnsi="Book Antiqua" w:cstheme="minorHAnsi"/>
          <w:sz w:val="20"/>
          <w:szCs w:val="20"/>
        </w:rPr>
        <w:t>zapovjednik DVD-a Općine To</w:t>
      </w:r>
      <w:r w:rsidR="00FC55C7" w:rsidRPr="008870FD">
        <w:rPr>
          <w:rFonts w:ascii="Book Antiqua" w:hAnsi="Book Antiqua" w:cstheme="minorHAnsi"/>
          <w:sz w:val="20"/>
          <w:szCs w:val="20"/>
        </w:rPr>
        <w:t xml:space="preserve">varnik Vlado </w:t>
      </w:r>
      <w:proofErr w:type="spellStart"/>
      <w:r w:rsidR="00FC55C7" w:rsidRPr="008870FD">
        <w:rPr>
          <w:rFonts w:ascii="Book Antiqua" w:hAnsi="Book Antiqua" w:cstheme="minorHAnsi"/>
          <w:sz w:val="20"/>
          <w:szCs w:val="20"/>
        </w:rPr>
        <w:t>Buntić</w:t>
      </w:r>
      <w:proofErr w:type="spellEnd"/>
      <w:r w:rsidR="00FC55C7" w:rsidRPr="008870FD">
        <w:rPr>
          <w:rFonts w:ascii="Book Antiqua" w:hAnsi="Book Antiqua" w:cstheme="minorHAnsi"/>
          <w:sz w:val="20"/>
          <w:szCs w:val="20"/>
        </w:rPr>
        <w:t xml:space="preserve">. </w:t>
      </w:r>
    </w:p>
    <w:p w14:paraId="4AF4916F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237C26D8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hAnsi="Book Antiqua" w:cstheme="minorHAnsi"/>
          <w:sz w:val="20"/>
          <w:szCs w:val="20"/>
        </w:rPr>
        <w:t>2.  Dežurstva uvesti i provoditi do kraja žetve.</w:t>
      </w:r>
    </w:p>
    <w:p w14:paraId="6CEAE5F0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0A840E3E" w14:textId="3D9469B1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hAnsi="Book Antiqua" w:cstheme="minorHAnsi"/>
          <w:sz w:val="20"/>
          <w:szCs w:val="20"/>
        </w:rPr>
        <w:t xml:space="preserve">3.  Lokacija gdje će se obavljati dežurstva: </w:t>
      </w:r>
      <w:r w:rsidRPr="00536EE7">
        <w:rPr>
          <w:rFonts w:ascii="Book Antiqua" w:hAnsi="Book Antiqua" w:cstheme="minorHAnsi"/>
          <w:b/>
          <w:sz w:val="20"/>
          <w:szCs w:val="20"/>
        </w:rPr>
        <w:t>To</w:t>
      </w:r>
      <w:r w:rsidR="00FC55C7" w:rsidRPr="00536EE7">
        <w:rPr>
          <w:rFonts w:ascii="Book Antiqua" w:hAnsi="Book Antiqua" w:cstheme="minorHAnsi"/>
          <w:b/>
          <w:sz w:val="20"/>
          <w:szCs w:val="20"/>
        </w:rPr>
        <w:t xml:space="preserve">varnik </w:t>
      </w:r>
      <w:r w:rsidRPr="00536EE7">
        <w:rPr>
          <w:rFonts w:ascii="Book Antiqua" w:hAnsi="Book Antiqua" w:cstheme="minorHAnsi"/>
          <w:b/>
          <w:sz w:val="20"/>
          <w:szCs w:val="20"/>
        </w:rPr>
        <w:t xml:space="preserve">A. G. Matoša </w:t>
      </w:r>
      <w:r w:rsidR="00FC55C7" w:rsidRPr="00536EE7">
        <w:rPr>
          <w:rFonts w:ascii="Book Antiqua" w:hAnsi="Book Antiqua" w:cstheme="minorHAnsi"/>
          <w:b/>
          <w:sz w:val="20"/>
          <w:szCs w:val="20"/>
        </w:rPr>
        <w:t>54</w:t>
      </w:r>
      <w:r w:rsidRPr="00536EE7">
        <w:rPr>
          <w:rFonts w:ascii="Book Antiqua" w:hAnsi="Book Antiqua" w:cstheme="minorHAnsi"/>
          <w:b/>
          <w:bCs/>
          <w:sz w:val="20"/>
          <w:szCs w:val="20"/>
        </w:rPr>
        <w:t>,  Vatrogasni dom.</w:t>
      </w:r>
    </w:p>
    <w:p w14:paraId="0723234A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6A0D7B4A" w14:textId="175872F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hAnsi="Book Antiqua" w:cstheme="minorHAnsi"/>
          <w:sz w:val="20"/>
          <w:szCs w:val="20"/>
        </w:rPr>
        <w:t>4.   Ova Odluka stupa na snagu danom donošenja.</w:t>
      </w:r>
    </w:p>
    <w:p w14:paraId="223FA292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7E4C88F6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592F41F9" w14:textId="77777777" w:rsidR="00AA7002" w:rsidRPr="00536EE7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0502C9FF" w14:textId="77777777" w:rsidR="00AA7002" w:rsidRDefault="00AA7002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0BCD9C2C" w14:textId="77777777" w:rsidR="00536EE7" w:rsidRDefault="00536EE7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44DDE485" w14:textId="77777777" w:rsidR="00536EE7" w:rsidRDefault="00536EE7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527404FF" w14:textId="77777777" w:rsidR="00536EE7" w:rsidRPr="00536EE7" w:rsidRDefault="00536EE7" w:rsidP="00AA7002">
      <w:pPr>
        <w:pStyle w:val="Bezproreda"/>
        <w:jc w:val="both"/>
        <w:rPr>
          <w:rFonts w:ascii="Book Antiqua" w:hAnsi="Book Antiqua" w:cstheme="minorHAnsi"/>
          <w:sz w:val="20"/>
          <w:szCs w:val="20"/>
        </w:rPr>
      </w:pPr>
    </w:p>
    <w:p w14:paraId="570BFBA0" w14:textId="77777777" w:rsidR="00AA7002" w:rsidRPr="00536EE7" w:rsidRDefault="00AA7002" w:rsidP="00FC55C7">
      <w:pPr>
        <w:pStyle w:val="Bezproreda"/>
        <w:jc w:val="right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  <w:t>OPĆINSKI NAČELNIK</w:t>
      </w:r>
    </w:p>
    <w:p w14:paraId="01C1079D" w14:textId="6CE45CF3" w:rsidR="00AA7002" w:rsidRPr="00536EE7" w:rsidRDefault="00AA7002" w:rsidP="00FC55C7">
      <w:pPr>
        <w:pStyle w:val="Bezproreda"/>
        <w:jc w:val="right"/>
        <w:rPr>
          <w:rFonts w:ascii="Book Antiqua" w:hAnsi="Book Antiqua" w:cstheme="minorHAnsi"/>
          <w:sz w:val="20"/>
          <w:szCs w:val="20"/>
        </w:rPr>
      </w:pP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</w:r>
      <w:r w:rsidRPr="00536EE7">
        <w:rPr>
          <w:rFonts w:ascii="Book Antiqua" w:hAnsi="Book Antiqua" w:cstheme="minorHAnsi"/>
          <w:sz w:val="20"/>
          <w:szCs w:val="20"/>
        </w:rPr>
        <w:tab/>
        <w:t xml:space="preserve">      </w:t>
      </w:r>
      <w:r w:rsidR="00FC55C7" w:rsidRPr="00536EE7">
        <w:rPr>
          <w:rFonts w:ascii="Book Antiqua" w:hAnsi="Book Antiqua" w:cstheme="minorHAnsi"/>
          <w:sz w:val="20"/>
          <w:szCs w:val="20"/>
        </w:rPr>
        <w:t xml:space="preserve">Anđelko Dobročinac, </w:t>
      </w:r>
      <w:proofErr w:type="spellStart"/>
      <w:r w:rsidR="00FC55C7" w:rsidRPr="00536EE7">
        <w:rPr>
          <w:rFonts w:ascii="Book Antiqua" w:hAnsi="Book Antiqua" w:cstheme="minorHAnsi"/>
          <w:sz w:val="20"/>
          <w:szCs w:val="20"/>
        </w:rPr>
        <w:t>dipl.ing</w:t>
      </w:r>
      <w:proofErr w:type="spellEnd"/>
      <w:r w:rsidR="00FC55C7" w:rsidRPr="00536EE7">
        <w:rPr>
          <w:rFonts w:ascii="Book Antiqua" w:hAnsi="Book Antiqua" w:cstheme="minorHAnsi"/>
          <w:sz w:val="20"/>
          <w:szCs w:val="20"/>
        </w:rPr>
        <w:t>.</w:t>
      </w:r>
    </w:p>
    <w:p w14:paraId="6FCEC565" w14:textId="77777777" w:rsidR="00A71F78" w:rsidRPr="00536EE7" w:rsidRDefault="00A71F78" w:rsidP="00FC55C7">
      <w:pPr>
        <w:jc w:val="right"/>
        <w:rPr>
          <w:rFonts w:ascii="Book Antiqua" w:hAnsi="Book Antiqua"/>
          <w:sz w:val="20"/>
          <w:szCs w:val="20"/>
        </w:rPr>
      </w:pPr>
    </w:p>
    <w:sectPr w:rsidR="00A71F78" w:rsidRPr="0053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02"/>
    <w:rsid w:val="00104FAA"/>
    <w:rsid w:val="00217382"/>
    <w:rsid w:val="002F7DD4"/>
    <w:rsid w:val="003015AB"/>
    <w:rsid w:val="00327B63"/>
    <w:rsid w:val="004E18A9"/>
    <w:rsid w:val="0051610B"/>
    <w:rsid w:val="005229B9"/>
    <w:rsid w:val="00536EE7"/>
    <w:rsid w:val="00776EEF"/>
    <w:rsid w:val="008870FD"/>
    <w:rsid w:val="00893D72"/>
    <w:rsid w:val="008B6773"/>
    <w:rsid w:val="008F453D"/>
    <w:rsid w:val="00A71F78"/>
    <w:rsid w:val="00AA7002"/>
    <w:rsid w:val="00AD09F9"/>
    <w:rsid w:val="00B209F6"/>
    <w:rsid w:val="00B76ACE"/>
    <w:rsid w:val="00B95F73"/>
    <w:rsid w:val="00EB37ED"/>
    <w:rsid w:val="00FC55C7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9BDD"/>
  <w15:chartTrackingRefBased/>
  <w15:docId w15:val="{09AB2B19-54B7-45E8-BB1C-533D6237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0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7002"/>
    <w:pPr>
      <w:spacing w:after="0" w:line="240" w:lineRule="auto"/>
    </w:pPr>
  </w:style>
  <w:style w:type="paragraph" w:customStyle="1" w:styleId="Standard">
    <w:name w:val="Standard"/>
    <w:rsid w:val="00AA700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elizabeta širić</cp:lastModifiedBy>
  <cp:revision>3</cp:revision>
  <cp:lastPrinted>2026-03-12T08:22:00Z</cp:lastPrinted>
  <dcterms:created xsi:type="dcterms:W3CDTF">2026-05-25T08:35:00Z</dcterms:created>
  <dcterms:modified xsi:type="dcterms:W3CDTF">2026-05-25T09:59:00Z</dcterms:modified>
</cp:coreProperties>
</file>