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A5C1" w14:textId="77777777" w:rsidR="005024F8" w:rsidRPr="005024F8" w:rsidRDefault="005024F8" w:rsidP="005024F8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1" locked="0" layoutInCell="1" allowOverlap="1" wp14:anchorId="0EF277AF" wp14:editId="5364F8BD">
            <wp:simplePos x="0" y="0"/>
            <wp:positionH relativeFrom="page">
              <wp:posOffset>1272540</wp:posOffset>
            </wp:positionH>
            <wp:positionV relativeFrom="margin">
              <wp:posOffset>-247650</wp:posOffset>
            </wp:positionV>
            <wp:extent cx="678180" cy="875983"/>
            <wp:effectExtent l="0" t="0" r="7620" b="63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5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FDD05" w14:textId="77777777" w:rsidR="005024F8" w:rsidRPr="005024F8" w:rsidRDefault="005024F8" w:rsidP="005024F8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625EBEB0" w14:textId="77777777" w:rsidR="005024F8" w:rsidRPr="005024F8" w:rsidRDefault="005024F8" w:rsidP="005024F8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67C656C7" w14:textId="77777777" w:rsidR="005024F8" w:rsidRPr="005024F8" w:rsidRDefault="005024F8" w:rsidP="005024F8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3EFBFF43" w14:textId="77777777" w:rsidR="005024F8" w:rsidRPr="005024F8" w:rsidRDefault="005024F8" w:rsidP="005024F8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>REPUBLIKA HRVATSKA</w:t>
      </w:r>
    </w:p>
    <w:p w14:paraId="647C878D" w14:textId="77777777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>VUKOVARSKO-SRIJEMSKA ŽUPANIJA</w:t>
      </w:r>
    </w:p>
    <w:p w14:paraId="186920BD" w14:textId="77777777" w:rsidR="005024F8" w:rsidRPr="005024F8" w:rsidRDefault="005024F8" w:rsidP="005024F8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56D79F9" wp14:editId="13ED2990">
            <wp:simplePos x="0" y="0"/>
            <wp:positionH relativeFrom="column">
              <wp:posOffset>100330</wp:posOffset>
            </wp:positionH>
            <wp:positionV relativeFrom="paragraph">
              <wp:posOffset>71120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4F8">
        <w:rPr>
          <w:rFonts w:ascii="Book Antiqua" w:hAnsi="Book Antiqua" w:cs="Times New Roman"/>
          <w:sz w:val="20"/>
          <w:szCs w:val="20"/>
        </w:rPr>
        <w:t xml:space="preserve"> </w:t>
      </w:r>
    </w:p>
    <w:p w14:paraId="1419B773" w14:textId="77777777" w:rsidR="005024F8" w:rsidRPr="005024F8" w:rsidRDefault="005024F8" w:rsidP="005024F8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 xml:space="preserve"> OPĆINA TOVARNIK</w:t>
      </w:r>
    </w:p>
    <w:p w14:paraId="399F6083" w14:textId="77777777" w:rsidR="005024F8" w:rsidRPr="005024F8" w:rsidRDefault="005024F8" w:rsidP="005024F8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</w:p>
    <w:p w14:paraId="32466219" w14:textId="77777777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512E311F" w14:textId="77777777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 xml:space="preserve"> OPĆINSKO VIJEĆE</w:t>
      </w:r>
    </w:p>
    <w:p w14:paraId="741F5C82" w14:textId="77777777" w:rsidR="005024F8" w:rsidRPr="005024F8" w:rsidRDefault="005024F8" w:rsidP="005024F8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 xml:space="preserve">               </w:t>
      </w:r>
    </w:p>
    <w:p w14:paraId="722CD6CB" w14:textId="6F7B50BD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>KLASA: 024-03/26-01/20</w:t>
      </w:r>
    </w:p>
    <w:p w14:paraId="3D39156B" w14:textId="77777777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 xml:space="preserve">URBROJ: 2196-28-02-26-1           </w:t>
      </w:r>
    </w:p>
    <w:p w14:paraId="51F78475" w14:textId="77777777" w:rsidR="005024F8" w:rsidRPr="005024F8" w:rsidRDefault="005024F8" w:rsidP="005024F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024F8">
        <w:rPr>
          <w:rFonts w:ascii="Book Antiqua" w:hAnsi="Book Antiqua" w:cs="Times New Roman"/>
          <w:sz w:val="20"/>
          <w:szCs w:val="20"/>
        </w:rPr>
        <w:t xml:space="preserve">Tovarnik, 29. svibnja 2026. </w:t>
      </w:r>
    </w:p>
    <w:p w14:paraId="1FA16D80" w14:textId="77777777" w:rsidR="005024F8" w:rsidRPr="005024F8" w:rsidRDefault="005024F8" w:rsidP="005024F8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6D4EC178" w14:textId="301AAE1E" w:rsidR="005024F8" w:rsidRPr="005024F8" w:rsidRDefault="005024F8" w:rsidP="005024F8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Na temelju članka 215. Pravilnika o proračunskom računovodstvu i Računskom planu (</w:t>
      </w:r>
      <w:r>
        <w:rPr>
          <w:rFonts w:ascii="Book Antiqua" w:hAnsi="Book Antiqua"/>
          <w:sz w:val="20"/>
          <w:szCs w:val="20"/>
        </w:rPr>
        <w:t xml:space="preserve"> </w:t>
      </w:r>
      <w:r w:rsidRPr="005024F8">
        <w:rPr>
          <w:rFonts w:ascii="Book Antiqua" w:hAnsi="Book Antiqua"/>
          <w:sz w:val="20"/>
          <w:szCs w:val="20"/>
        </w:rPr>
        <w:t>Narodne novine 158/2023 i 154/24</w:t>
      </w:r>
      <w:r>
        <w:rPr>
          <w:rFonts w:ascii="Book Antiqua" w:hAnsi="Book Antiqua"/>
          <w:sz w:val="20"/>
          <w:szCs w:val="20"/>
        </w:rPr>
        <w:t xml:space="preserve"> </w:t>
      </w:r>
      <w:r w:rsidRPr="005024F8">
        <w:rPr>
          <w:rFonts w:ascii="Book Antiqua" w:hAnsi="Book Antiqua"/>
          <w:sz w:val="20"/>
          <w:szCs w:val="20"/>
        </w:rPr>
        <w:t>)</w:t>
      </w:r>
      <w:r>
        <w:rPr>
          <w:rFonts w:ascii="Book Antiqua" w:hAnsi="Book Antiqua"/>
          <w:sz w:val="20"/>
          <w:szCs w:val="20"/>
        </w:rPr>
        <w:t xml:space="preserve"> te </w:t>
      </w:r>
      <w:r w:rsidRPr="005024F8">
        <w:rPr>
          <w:rFonts w:ascii="Book Antiqua" w:hAnsi="Book Antiqua"/>
          <w:sz w:val="20"/>
          <w:szCs w:val="20"/>
        </w:rPr>
        <w:t xml:space="preserve"> članka 31. Statuta Općine Tovarnik (</w:t>
      </w:r>
      <w:r w:rsidR="006520DF">
        <w:rPr>
          <w:rFonts w:ascii="Book Antiqua" w:hAnsi="Book Antiqua"/>
          <w:sz w:val="20"/>
          <w:szCs w:val="20"/>
        </w:rPr>
        <w:t xml:space="preserve"> „</w:t>
      </w:r>
      <w:r w:rsidRPr="005024F8">
        <w:rPr>
          <w:rFonts w:ascii="Book Antiqua" w:hAnsi="Book Antiqua"/>
          <w:sz w:val="20"/>
          <w:szCs w:val="20"/>
        </w:rPr>
        <w:t>Službeni vjesnik</w:t>
      </w:r>
      <w:r w:rsidR="006520DF">
        <w:rPr>
          <w:rFonts w:ascii="Book Antiqua" w:hAnsi="Book Antiqua"/>
          <w:sz w:val="20"/>
          <w:szCs w:val="20"/>
        </w:rPr>
        <w:t>“</w:t>
      </w:r>
      <w:r w:rsidRPr="005024F8">
        <w:rPr>
          <w:rFonts w:ascii="Book Antiqua" w:hAnsi="Book Antiqua"/>
          <w:sz w:val="20"/>
          <w:szCs w:val="20"/>
        </w:rPr>
        <w:t xml:space="preserve">  Vukovarsko-srijemske županije, broj 3/22, 9/25), Općinsko vijeće Općine Tovarnik na svojoj 9. sjednici, održanoj dana 29.</w:t>
      </w:r>
      <w:r>
        <w:rPr>
          <w:rFonts w:ascii="Book Antiqua" w:hAnsi="Book Antiqua"/>
          <w:sz w:val="20"/>
          <w:szCs w:val="20"/>
        </w:rPr>
        <w:t xml:space="preserve"> svibnja </w:t>
      </w:r>
      <w:r w:rsidRPr="005024F8">
        <w:rPr>
          <w:rFonts w:ascii="Book Antiqua" w:hAnsi="Book Antiqua"/>
          <w:sz w:val="20"/>
          <w:szCs w:val="20"/>
        </w:rPr>
        <w:t xml:space="preserve">2026. godine, donosi </w:t>
      </w:r>
    </w:p>
    <w:p w14:paraId="0160F86E" w14:textId="77777777" w:rsidR="005024F8" w:rsidRPr="005024F8" w:rsidRDefault="005024F8" w:rsidP="005024F8">
      <w:pPr>
        <w:pStyle w:val="Tijeloteksta3"/>
        <w:tabs>
          <w:tab w:val="left" w:pos="0"/>
        </w:tabs>
        <w:rPr>
          <w:rFonts w:ascii="Book Antiqua" w:hAnsi="Book Antiqua"/>
          <w:sz w:val="20"/>
          <w:highlight w:val="yellow"/>
        </w:rPr>
      </w:pPr>
    </w:p>
    <w:p w14:paraId="002753BB" w14:textId="77777777" w:rsidR="005024F8" w:rsidRPr="005024F8" w:rsidRDefault="005024F8" w:rsidP="005024F8">
      <w:pPr>
        <w:jc w:val="center"/>
        <w:rPr>
          <w:rFonts w:ascii="Book Antiqua" w:hAnsi="Book Antiqua"/>
          <w:b/>
          <w:sz w:val="20"/>
          <w:szCs w:val="20"/>
        </w:rPr>
      </w:pPr>
      <w:r w:rsidRPr="005024F8">
        <w:rPr>
          <w:rFonts w:ascii="Book Antiqua" w:hAnsi="Book Antiqua"/>
          <w:b/>
          <w:sz w:val="20"/>
          <w:szCs w:val="20"/>
        </w:rPr>
        <w:t xml:space="preserve"> ODLUKU O RASPODJELI REZULTATA OPĆINE TOVARNIK </w:t>
      </w:r>
    </w:p>
    <w:p w14:paraId="7FC3D026" w14:textId="77777777" w:rsidR="005024F8" w:rsidRPr="005024F8" w:rsidRDefault="005024F8" w:rsidP="005024F8">
      <w:pPr>
        <w:jc w:val="center"/>
        <w:rPr>
          <w:rFonts w:ascii="Book Antiqua" w:hAnsi="Book Antiqua"/>
          <w:b/>
          <w:sz w:val="20"/>
          <w:szCs w:val="20"/>
        </w:rPr>
      </w:pPr>
      <w:r w:rsidRPr="005024F8">
        <w:rPr>
          <w:rFonts w:ascii="Book Antiqua" w:hAnsi="Book Antiqua"/>
          <w:b/>
          <w:sz w:val="20"/>
          <w:szCs w:val="20"/>
        </w:rPr>
        <w:t>ZA 2025. GODINU</w:t>
      </w:r>
    </w:p>
    <w:p w14:paraId="16153562" w14:textId="77777777" w:rsidR="005024F8" w:rsidRPr="005024F8" w:rsidRDefault="005024F8" w:rsidP="005024F8">
      <w:pPr>
        <w:pStyle w:val="Zaglavlje"/>
        <w:tabs>
          <w:tab w:val="left" w:pos="708"/>
        </w:tabs>
        <w:rPr>
          <w:rFonts w:ascii="Book Antiqua" w:hAnsi="Book Antiqua"/>
          <w:highlight w:val="yellow"/>
        </w:rPr>
      </w:pPr>
    </w:p>
    <w:p w14:paraId="46ADAA12" w14:textId="77777777" w:rsidR="005024F8" w:rsidRPr="005024F8" w:rsidRDefault="005024F8" w:rsidP="005024F8">
      <w:pPr>
        <w:pStyle w:val="Tijeloteksta3"/>
        <w:jc w:val="center"/>
        <w:rPr>
          <w:rFonts w:ascii="Book Antiqua" w:hAnsi="Book Antiqua"/>
          <w:b/>
          <w:bCs/>
          <w:sz w:val="20"/>
        </w:rPr>
      </w:pPr>
      <w:r w:rsidRPr="005024F8">
        <w:rPr>
          <w:rFonts w:ascii="Book Antiqua" w:hAnsi="Book Antiqua"/>
          <w:b/>
          <w:bCs/>
          <w:sz w:val="20"/>
        </w:rPr>
        <w:t>Članak 1.</w:t>
      </w:r>
    </w:p>
    <w:p w14:paraId="0F625A98" w14:textId="77777777" w:rsidR="005024F8" w:rsidRPr="005024F8" w:rsidRDefault="005024F8" w:rsidP="005024F8">
      <w:pPr>
        <w:pStyle w:val="Tijeloteksta3"/>
        <w:rPr>
          <w:rFonts w:ascii="Book Antiqua" w:hAnsi="Book Antiqua"/>
          <w:sz w:val="20"/>
        </w:rPr>
      </w:pPr>
      <w:r w:rsidRPr="005024F8">
        <w:rPr>
          <w:rFonts w:ascii="Book Antiqua" w:hAnsi="Book Antiqua"/>
          <w:sz w:val="20"/>
        </w:rPr>
        <w:t>Ovom se Odlukom raspodjeljuju stanja utvrđena po osnovnim računima podskupine 922 višak/manjak iskazana u financijskim izvještajima Općine Tovarnik za 2025. godinu te se utvrđuje struktura financijskog rezultata po izvorima financiranja i način korištenja viška/manjka prihoda.</w:t>
      </w:r>
    </w:p>
    <w:p w14:paraId="4B3A3BD4" w14:textId="77777777" w:rsidR="005024F8" w:rsidRPr="005024F8" w:rsidRDefault="005024F8" w:rsidP="005024F8">
      <w:pPr>
        <w:pStyle w:val="Tijeloteksta3"/>
        <w:rPr>
          <w:rFonts w:ascii="Book Antiqua" w:hAnsi="Book Antiqua"/>
          <w:sz w:val="20"/>
          <w:highlight w:val="yellow"/>
        </w:rPr>
      </w:pPr>
    </w:p>
    <w:p w14:paraId="14162037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 xml:space="preserve">Članak 2. </w:t>
      </w:r>
    </w:p>
    <w:p w14:paraId="2FDE9C8C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Stanja prema osnovnim računima podskupine 922 višak/manjak prihoda koji su iskazani u Bilanci Općine Tovarnik na dan 31.12.2025. godine, odnosno stanja u Glavnoj knjizi na dan 01.01.2026. godine su sljedeća:</w:t>
      </w:r>
    </w:p>
    <w:p w14:paraId="0A28740A" w14:textId="40F9194A" w:rsidR="005024F8" w:rsidRPr="005024F8" w:rsidRDefault="005024F8" w:rsidP="005024F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Višak prihoda poslovanja                                  </w:t>
      </w:r>
      <w:r w:rsidR="00B05748">
        <w:rPr>
          <w:rFonts w:ascii="Book Antiqua" w:hAnsi="Book Antiqua"/>
          <w:sz w:val="20"/>
          <w:szCs w:val="20"/>
        </w:rPr>
        <w:t xml:space="preserve"> </w:t>
      </w:r>
      <w:r w:rsidRPr="005024F8">
        <w:rPr>
          <w:rFonts w:ascii="Book Antiqua" w:hAnsi="Book Antiqua"/>
          <w:sz w:val="20"/>
          <w:szCs w:val="20"/>
        </w:rPr>
        <w:t xml:space="preserve">   511.038,61 eura</w:t>
      </w:r>
    </w:p>
    <w:p w14:paraId="4CF85A8E" w14:textId="77777777" w:rsidR="005024F8" w:rsidRPr="005024F8" w:rsidRDefault="005024F8" w:rsidP="005024F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Višak primitaka od financijske imovine                23.757,55 eura</w:t>
      </w:r>
    </w:p>
    <w:p w14:paraId="6EB6D8E4" w14:textId="655D5EFF" w:rsidR="005024F8" w:rsidRPr="005024F8" w:rsidRDefault="005024F8" w:rsidP="005024F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Manjak prihoda od nefinancijske imovine     </w:t>
      </w:r>
      <w:r w:rsidR="00B05748">
        <w:rPr>
          <w:rFonts w:ascii="Book Antiqua" w:hAnsi="Book Antiqua"/>
          <w:sz w:val="20"/>
          <w:szCs w:val="20"/>
        </w:rPr>
        <w:t xml:space="preserve"> </w:t>
      </w:r>
      <w:r w:rsidRPr="005024F8">
        <w:rPr>
          <w:rFonts w:ascii="Book Antiqua" w:hAnsi="Book Antiqua"/>
          <w:sz w:val="20"/>
          <w:szCs w:val="20"/>
        </w:rPr>
        <w:t xml:space="preserve">   -974.222,09 eura</w:t>
      </w:r>
    </w:p>
    <w:p w14:paraId="77ABA4D3" w14:textId="725BA5EB" w:rsidR="005024F8" w:rsidRPr="005024F8" w:rsidRDefault="005024F8" w:rsidP="005024F8">
      <w:pPr>
        <w:ind w:left="720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 xml:space="preserve">REZULTAT                                                  </w:t>
      </w:r>
      <w:r w:rsidR="00B05748">
        <w:rPr>
          <w:rFonts w:ascii="Book Antiqua" w:hAnsi="Book Antiqua"/>
          <w:b/>
          <w:bCs/>
          <w:sz w:val="20"/>
          <w:szCs w:val="20"/>
        </w:rPr>
        <w:t xml:space="preserve">      </w:t>
      </w:r>
      <w:r w:rsidRPr="005024F8">
        <w:rPr>
          <w:rFonts w:ascii="Book Antiqua" w:hAnsi="Book Antiqua"/>
          <w:b/>
          <w:bCs/>
          <w:sz w:val="20"/>
          <w:szCs w:val="20"/>
        </w:rPr>
        <w:t xml:space="preserve">     -439.425,93 eura</w:t>
      </w:r>
      <w:bookmarkStart w:id="0" w:name="_Hlk67906558"/>
    </w:p>
    <w:p w14:paraId="0EDF388D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3.</w:t>
      </w:r>
    </w:p>
    <w:bookmarkEnd w:id="0"/>
    <w:p w14:paraId="2489437B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Višak prihoda poslovanja u iznosu od 511.038,61 eura, ostvaren je od namjenskih manjkova/viškova, razvrstanih po izvorima financiranja kako slijedi:</w:t>
      </w:r>
    </w:p>
    <w:p w14:paraId="40EE7962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tbl>
      <w:tblPr>
        <w:tblW w:w="7640" w:type="dxa"/>
        <w:tblInd w:w="714" w:type="dxa"/>
        <w:tblLook w:val="04A0" w:firstRow="1" w:lastRow="0" w:firstColumn="1" w:lastColumn="0" w:noHBand="0" w:noVBand="1"/>
      </w:tblPr>
      <w:tblGrid>
        <w:gridCol w:w="5880"/>
        <w:gridCol w:w="1760"/>
      </w:tblGrid>
      <w:tr w:rsidR="005024F8" w:rsidRPr="005024F8" w14:paraId="3C2D9203" w14:textId="77777777" w:rsidTr="005E0A45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8B2E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11 Opći prihodi i primici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30BC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41.273,23</w:t>
            </w:r>
          </w:p>
        </w:tc>
      </w:tr>
      <w:tr w:rsidR="005024F8" w:rsidRPr="005024F8" w14:paraId="55196DB6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3E47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31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04AF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808,67</w:t>
            </w:r>
          </w:p>
        </w:tc>
      </w:tr>
      <w:tr w:rsidR="005024F8" w:rsidRPr="005024F8" w14:paraId="1A963B20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CB8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41 Prihodi od komunalne naknade i doprinosa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409A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-32.212,46</w:t>
            </w:r>
          </w:p>
        </w:tc>
      </w:tr>
      <w:tr w:rsidR="005024F8" w:rsidRPr="005024F8" w14:paraId="229BEC9F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F2AD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>42 Prihodi od koncesije i zakupa poljoprivrednog zemljišta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853A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95.560,66</w:t>
            </w:r>
          </w:p>
        </w:tc>
      </w:tr>
      <w:tr w:rsidR="005024F8" w:rsidRPr="005024F8" w14:paraId="538B6C5E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4E7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43 Prihodi od ostalih koncesija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796F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5.393,16</w:t>
            </w:r>
          </w:p>
        </w:tc>
      </w:tr>
      <w:tr w:rsidR="005024F8" w:rsidRPr="005024F8" w14:paraId="52D93471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3235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44 Naknade za eksploataciju mineralnih sirovina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EFDA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-135.692,78</w:t>
            </w:r>
          </w:p>
        </w:tc>
      </w:tr>
      <w:tr w:rsidR="005024F8" w:rsidRPr="005024F8" w14:paraId="1E052B9D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C05E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45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D6E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41.114,12</w:t>
            </w:r>
          </w:p>
        </w:tc>
      </w:tr>
      <w:tr w:rsidR="005024F8" w:rsidRPr="005024F8" w14:paraId="6A590829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F084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46 Šumski doprinos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C08F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58.094,23</w:t>
            </w:r>
          </w:p>
        </w:tc>
      </w:tr>
      <w:tr w:rsidR="005024F8" w:rsidRPr="005024F8" w14:paraId="6BFBC3B5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0168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51 Tekuće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DDED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58.169,73</w:t>
            </w:r>
          </w:p>
        </w:tc>
      </w:tr>
      <w:tr w:rsidR="005024F8" w:rsidRPr="005024F8" w14:paraId="451495E9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E546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52 Kapitalne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8546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375.816,28</w:t>
            </w:r>
          </w:p>
        </w:tc>
      </w:tr>
      <w:tr w:rsidR="005024F8" w:rsidRPr="005024F8" w14:paraId="17E0AB46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F06C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53 Pomoći od izvanproračunskih korisnika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44D7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-35,00</w:t>
            </w:r>
          </w:p>
        </w:tc>
      </w:tr>
      <w:tr w:rsidR="005024F8" w:rsidRPr="005024F8" w14:paraId="508CA124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54A1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 xml:space="preserve">54 Tekuće pomoći temeljem prijenosa EU sredstava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60CF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-17.951,95</w:t>
            </w:r>
          </w:p>
        </w:tc>
      </w:tr>
      <w:tr w:rsidR="005024F8" w:rsidRPr="005024F8" w14:paraId="2779C5E5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C7E8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55 Kapitalne pomoći temeljem prijenosa EU sredstava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E35A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5.620,71</w:t>
            </w:r>
          </w:p>
        </w:tc>
      </w:tr>
      <w:tr w:rsidR="005024F8" w:rsidRPr="005024F8" w14:paraId="47A45298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9FA3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61 Donacije od pravnih i fizičkih osoba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E197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755,00</w:t>
            </w:r>
          </w:p>
        </w:tc>
      </w:tr>
      <w:tr w:rsidR="005024F8" w:rsidRPr="005024F8" w14:paraId="679FDADE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6AE9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Prijenos viška prihoda poslovanja iz 2024. godine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3060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14.325,01</w:t>
            </w:r>
          </w:p>
        </w:tc>
      </w:tr>
      <w:tr w:rsidR="005024F8" w:rsidRPr="005024F8" w14:paraId="67F6FA1E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A8F" w14:textId="77777777" w:rsidR="005024F8" w:rsidRPr="005024F8" w:rsidRDefault="005024F8" w:rsidP="005E0A45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F013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511.038,61</w:t>
            </w:r>
          </w:p>
        </w:tc>
      </w:tr>
    </w:tbl>
    <w:p w14:paraId="08E63C59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03A5E7F2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Višak primitaka od financijske imovine u iznosu od 23.757,55 eura, ostvaren je prijenosom viška primitaka od financijske imovine iz 2024. godine, razvrstan po izvorima financiranja kako slijedi:</w:t>
      </w:r>
    </w:p>
    <w:p w14:paraId="0EBFD894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tbl>
      <w:tblPr>
        <w:tblW w:w="7640" w:type="dxa"/>
        <w:tblInd w:w="711" w:type="dxa"/>
        <w:tblLook w:val="04A0" w:firstRow="1" w:lastRow="0" w:firstColumn="1" w:lastColumn="0" w:noHBand="0" w:noVBand="1"/>
      </w:tblPr>
      <w:tblGrid>
        <w:gridCol w:w="6201"/>
        <w:gridCol w:w="1439"/>
      </w:tblGrid>
      <w:tr w:rsidR="005024F8" w:rsidRPr="005024F8" w14:paraId="2129BD25" w14:textId="77777777" w:rsidTr="005E0A45">
        <w:trPr>
          <w:trHeight w:val="30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58F0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11 Opći prihodi i primici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F1B7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23.757,55</w:t>
            </w:r>
          </w:p>
        </w:tc>
      </w:tr>
      <w:tr w:rsidR="005024F8" w:rsidRPr="005024F8" w14:paraId="60E2287A" w14:textId="77777777" w:rsidTr="005E0A45">
        <w:trPr>
          <w:trHeight w:val="300"/>
        </w:trPr>
        <w:tc>
          <w:tcPr>
            <w:tcW w:w="6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8BE" w14:textId="77777777" w:rsidR="005024F8" w:rsidRPr="005024F8" w:rsidRDefault="005024F8" w:rsidP="005E0A45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A9A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23.757,55</w:t>
            </w:r>
          </w:p>
        </w:tc>
      </w:tr>
    </w:tbl>
    <w:p w14:paraId="5F37C9DA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7A47A1DC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Manjak prihoda od nefinancijske imovine ostvaren je u iznosu od -974.222,09 eura, a rezultat je nabave nefinancijske imovine, razvrstanih po izvorima financiranja kako slijedi:</w:t>
      </w:r>
    </w:p>
    <w:p w14:paraId="291963D1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tbl>
      <w:tblPr>
        <w:tblW w:w="7640" w:type="dxa"/>
        <w:tblInd w:w="714" w:type="dxa"/>
        <w:tblLook w:val="04A0" w:firstRow="1" w:lastRow="0" w:firstColumn="1" w:lastColumn="0" w:noHBand="0" w:noVBand="1"/>
      </w:tblPr>
      <w:tblGrid>
        <w:gridCol w:w="5880"/>
        <w:gridCol w:w="1760"/>
      </w:tblGrid>
      <w:tr w:rsidR="005024F8" w:rsidRPr="005024F8" w14:paraId="16B12664" w14:textId="77777777" w:rsidTr="005E0A45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1C2C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11 Opći prihodi i primici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964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101.960,97</w:t>
            </w:r>
          </w:p>
        </w:tc>
      </w:tr>
      <w:tr w:rsidR="005024F8" w:rsidRPr="005024F8" w14:paraId="286014B1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7796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41 Prihodi od komunalne naknade i doprinosa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843F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19.011,88</w:t>
            </w:r>
          </w:p>
        </w:tc>
      </w:tr>
      <w:tr w:rsidR="005024F8" w:rsidRPr="005024F8" w14:paraId="0222037C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9FCC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43 Prihodi od ostalih koncesija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1240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3.695,62</w:t>
            </w:r>
          </w:p>
        </w:tc>
      </w:tr>
      <w:tr w:rsidR="005024F8" w:rsidRPr="005024F8" w14:paraId="665948C3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648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44 Naknade za eksploataciju mineralnih sirovina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00B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354.552,44</w:t>
            </w:r>
          </w:p>
        </w:tc>
      </w:tr>
      <w:tr w:rsidR="005024F8" w:rsidRPr="005024F8" w14:paraId="11B27D0B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3F1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45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8F4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3.750,00</w:t>
            </w:r>
          </w:p>
        </w:tc>
      </w:tr>
      <w:tr w:rsidR="005024F8" w:rsidRPr="005024F8" w14:paraId="6A147B91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CCF7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51 Tekuće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DB87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62.607,81</w:t>
            </w:r>
          </w:p>
        </w:tc>
      </w:tr>
      <w:tr w:rsidR="005024F8" w:rsidRPr="005024F8" w14:paraId="473A3E24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6C5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>52 Kapitalne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959B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438.376,71</w:t>
            </w:r>
          </w:p>
        </w:tc>
      </w:tr>
      <w:tr w:rsidR="005024F8" w:rsidRPr="005024F8" w14:paraId="55ED8DAC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B4F6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71 Manjak prihoda od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F897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-9.733,34</w:t>
            </w:r>
          </w:p>
        </w:tc>
      </w:tr>
      <w:tr w:rsidR="005024F8" w:rsidRPr="005024F8" w14:paraId="02292B7F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F101" w14:textId="77777777" w:rsidR="005024F8" w:rsidRPr="005024F8" w:rsidRDefault="005024F8" w:rsidP="005E0A45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6DF5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974.222,09</w:t>
            </w:r>
          </w:p>
        </w:tc>
      </w:tr>
    </w:tbl>
    <w:p w14:paraId="0076524D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563FF910" w14:textId="77777777" w:rsidR="005024F8" w:rsidRPr="005024F8" w:rsidRDefault="005024F8" w:rsidP="005024F8">
      <w:pPr>
        <w:jc w:val="center"/>
        <w:rPr>
          <w:rFonts w:ascii="Book Antiqua" w:hAnsi="Book Antiqua"/>
          <w:sz w:val="20"/>
          <w:szCs w:val="20"/>
        </w:rPr>
      </w:pPr>
    </w:p>
    <w:p w14:paraId="6F42C846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4.</w:t>
      </w:r>
    </w:p>
    <w:p w14:paraId="700A20FC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bookmarkStart w:id="1" w:name="_Hlk192666644"/>
      <w:r w:rsidRPr="005024F8">
        <w:rPr>
          <w:rFonts w:ascii="Book Antiqua" w:hAnsi="Book Antiqua"/>
          <w:sz w:val="20"/>
          <w:szCs w:val="20"/>
        </w:rPr>
        <w:t>Iz ostvarenog viška prihoda poslovanja u iznosu od 41.273,23 eura</w:t>
      </w:r>
      <w:bookmarkEnd w:id="1"/>
      <w:r w:rsidRPr="005024F8">
        <w:rPr>
          <w:rFonts w:ascii="Book Antiqua" w:hAnsi="Book Antiqua"/>
          <w:sz w:val="20"/>
          <w:szCs w:val="20"/>
        </w:rPr>
        <w:t xml:space="preserve">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11 Opći prihodi i primici</w:t>
      </w:r>
      <w:r w:rsidRPr="005024F8">
        <w:rPr>
          <w:rFonts w:ascii="Book Antiqua" w:hAnsi="Book Antiqua"/>
          <w:sz w:val="20"/>
          <w:szCs w:val="20"/>
        </w:rPr>
        <w:t xml:space="preserve"> pokriva se manjak prihoda od nefinancijske imovine po istom izvoru u iznosu od 41.273,23 eura.</w:t>
      </w:r>
    </w:p>
    <w:p w14:paraId="4FA0519E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5467EDCB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321A64F5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808.67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31 Vlastiti prihodi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izvoru financiranja u iznosu od 808,67 eura.</w:t>
      </w:r>
    </w:p>
    <w:p w14:paraId="399FC72C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41A8B75B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95.560,66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42 Prihodi od koncesije i zakupa poljoprivrednog zemljišta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44 Naknade za eksploataciju mineralnih sirovina</w:t>
      </w:r>
      <w:r w:rsidRPr="005024F8">
        <w:rPr>
          <w:rFonts w:ascii="Book Antiqua" w:hAnsi="Book Antiqua"/>
          <w:sz w:val="20"/>
          <w:szCs w:val="20"/>
        </w:rPr>
        <w:t xml:space="preserve"> u iznosu od 95.560,66 eura.</w:t>
      </w:r>
    </w:p>
    <w:p w14:paraId="008EE5C5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05116387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5.393,16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43 Prihodi od ostalih koncesija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financiranja u iznosu od 3.695,62 eura.</w:t>
      </w:r>
    </w:p>
    <w:p w14:paraId="0723E4ED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0711FD86" w14:textId="77777777" w:rsidR="005024F8" w:rsidRPr="005024F8" w:rsidRDefault="005024F8" w:rsidP="005024F8">
      <w:pPr>
        <w:jc w:val="both"/>
        <w:rPr>
          <w:rFonts w:ascii="Book Antiqua" w:hAnsi="Book Antiqua"/>
          <w:i/>
          <w:iCs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5.393,16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43 Prihodi od ostalih koncesija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44 Naknade za eksploataciju mineralnih sirovina</w:t>
      </w:r>
      <w:r w:rsidRPr="005024F8">
        <w:rPr>
          <w:rFonts w:ascii="Book Antiqua" w:hAnsi="Book Antiqua"/>
          <w:sz w:val="20"/>
          <w:szCs w:val="20"/>
        </w:rPr>
        <w:t xml:space="preserve"> u iznosu od 1.697,54 eura.</w:t>
      </w:r>
    </w:p>
    <w:p w14:paraId="5837B256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6BC1632A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41.114,12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45 Prihodi za posebne namjene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financiranja u iznosu od 3.750,00 eura.</w:t>
      </w:r>
    </w:p>
    <w:p w14:paraId="75063113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0995989F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41.114,12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45 Prihodi za posebne namjene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41 Prihodi od komunalne naknade i doprinosa</w:t>
      </w:r>
      <w:r w:rsidRPr="005024F8">
        <w:rPr>
          <w:rFonts w:ascii="Book Antiqua" w:hAnsi="Book Antiqua"/>
          <w:sz w:val="20"/>
          <w:szCs w:val="20"/>
        </w:rPr>
        <w:t xml:space="preserve"> u iznosu od 18.203,21 eura.</w:t>
      </w:r>
    </w:p>
    <w:p w14:paraId="4B0CC2D5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439B52A0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lastRenderedPageBreak/>
        <w:t xml:space="preserve">Iz ostvarenog viška prihoda poslovanja u iznosu od 41.114,12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45 Prihodi za posebne namjene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44 Naknade za eksploataciju mineralnih sirovina</w:t>
      </w:r>
      <w:r w:rsidRPr="005024F8">
        <w:rPr>
          <w:rFonts w:ascii="Book Antiqua" w:hAnsi="Book Antiqua"/>
          <w:sz w:val="20"/>
          <w:szCs w:val="20"/>
        </w:rPr>
        <w:t xml:space="preserve"> u iznosu od 19.160,91 eura.</w:t>
      </w:r>
    </w:p>
    <w:p w14:paraId="38BD9785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5C6AA986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58.094,23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46 Šumski doprinos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44 Naknade za eksploataciju mineralnih sirovina</w:t>
      </w:r>
      <w:r w:rsidRPr="005024F8">
        <w:rPr>
          <w:rFonts w:ascii="Book Antiqua" w:hAnsi="Book Antiqua"/>
          <w:sz w:val="20"/>
          <w:szCs w:val="20"/>
        </w:rPr>
        <w:t xml:space="preserve"> u iznosu od 58.094,23 eura.</w:t>
      </w:r>
    </w:p>
    <w:p w14:paraId="02F65C37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403C57FD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58.169,73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51 Tekuće pomoći iz drugih proračuna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financiranja u iznosu od 58.169,73 eura.</w:t>
      </w:r>
    </w:p>
    <w:p w14:paraId="66084C9E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677033B8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375.816,28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52 Kapitalne pomoći iz drugih proračuna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financiranja u iznosu od 375.816,28 eura.</w:t>
      </w:r>
    </w:p>
    <w:p w14:paraId="567D1061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16EA40B8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5.620,71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55 Kapitalne pomoći temeljem prijenosa EU sredstava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52 Kapitalne pomoći iz drugih proračuna</w:t>
      </w:r>
      <w:r w:rsidRPr="005024F8">
        <w:rPr>
          <w:rFonts w:ascii="Book Antiqua" w:hAnsi="Book Antiqua"/>
          <w:sz w:val="20"/>
          <w:szCs w:val="20"/>
        </w:rPr>
        <w:t xml:space="preserve"> u iznosu od 5.620,71 eura.</w:t>
      </w:r>
    </w:p>
    <w:p w14:paraId="33C18067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2167B3AE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ostvarenog viška prihoda poslovanja u iznosu od 755,00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61 Donacije od fizičkih i pravnih osoba </w:t>
      </w:r>
      <w:r w:rsidRPr="005024F8">
        <w:rPr>
          <w:rFonts w:ascii="Book Antiqua" w:hAnsi="Book Antiqua"/>
          <w:sz w:val="20"/>
          <w:szCs w:val="20"/>
        </w:rPr>
        <w:t xml:space="preserve">pokriva se manjak prihoda od nefinancijske imovine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>11 Opći prihodi i primici</w:t>
      </w:r>
      <w:r w:rsidRPr="005024F8">
        <w:rPr>
          <w:rFonts w:ascii="Book Antiqua" w:hAnsi="Book Antiqua"/>
          <w:sz w:val="20"/>
          <w:szCs w:val="20"/>
        </w:rPr>
        <w:t xml:space="preserve"> u iznosu od 755,00 eura.</w:t>
      </w:r>
    </w:p>
    <w:p w14:paraId="2264DFE5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12EE2B30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prenesenog viška primitaka prihoda poslovanja iz 2024. godine u iznosu od 14.325,01 eura,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11 Opći prihodi i primici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u iznosu od 14.325,01 eura.</w:t>
      </w:r>
    </w:p>
    <w:p w14:paraId="55FB7F7E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2C56E150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Iz prenesenog viška primitaka od financijske imovine iz 2024. godine u iznosu od 23.757,55 eura po izvoru financiranja </w:t>
      </w:r>
      <w:r w:rsidRPr="005024F8">
        <w:rPr>
          <w:rFonts w:ascii="Book Antiqua" w:hAnsi="Book Antiqua"/>
          <w:i/>
          <w:iCs/>
          <w:sz w:val="20"/>
          <w:szCs w:val="20"/>
        </w:rPr>
        <w:t xml:space="preserve">11 Opći prihodi i primici </w:t>
      </w:r>
      <w:r w:rsidRPr="005024F8">
        <w:rPr>
          <w:rFonts w:ascii="Book Antiqua" w:hAnsi="Book Antiqua"/>
          <w:sz w:val="20"/>
          <w:szCs w:val="20"/>
        </w:rPr>
        <w:t>pokriva se manjak prihoda od nefinancijske imovine po istom izvoru financiranja u iznosu od 23.757,55 eura.</w:t>
      </w:r>
    </w:p>
    <w:p w14:paraId="1C0E7A0E" w14:textId="77777777" w:rsidR="005024F8" w:rsidRPr="005024F8" w:rsidRDefault="005024F8" w:rsidP="005024F8">
      <w:pPr>
        <w:jc w:val="both"/>
        <w:rPr>
          <w:rStyle w:val="apple-converted-space"/>
          <w:rFonts w:ascii="Book Antiqua" w:hAnsi="Book Antiqua"/>
          <w:sz w:val="20"/>
          <w:szCs w:val="20"/>
          <w:shd w:val="clear" w:color="auto" w:fill="F9F9F9"/>
        </w:rPr>
      </w:pPr>
      <w:r w:rsidRPr="005024F8">
        <w:rPr>
          <w:rStyle w:val="apple-converted-space"/>
          <w:rFonts w:ascii="Book Antiqua" w:hAnsi="Book Antiqua"/>
          <w:sz w:val="20"/>
          <w:szCs w:val="20"/>
          <w:shd w:val="clear" w:color="auto" w:fill="F9F9F9"/>
        </w:rPr>
        <w:t> </w:t>
      </w:r>
    </w:p>
    <w:p w14:paraId="726D2334" w14:textId="77777777" w:rsidR="005024F8" w:rsidRPr="005024F8" w:rsidRDefault="005024F8" w:rsidP="005024F8">
      <w:pPr>
        <w:rPr>
          <w:rStyle w:val="apple-converted-space"/>
          <w:rFonts w:ascii="Book Antiqua" w:hAnsi="Book Antiqua"/>
          <w:sz w:val="20"/>
          <w:szCs w:val="20"/>
          <w:shd w:val="clear" w:color="auto" w:fill="F9F9F9"/>
        </w:rPr>
      </w:pPr>
    </w:p>
    <w:p w14:paraId="5FEC83F7" w14:textId="77777777" w:rsidR="005024F8" w:rsidRPr="005024F8" w:rsidRDefault="005024F8" w:rsidP="005024F8">
      <w:pPr>
        <w:rPr>
          <w:rStyle w:val="apple-converted-space"/>
          <w:rFonts w:ascii="Book Antiqua" w:hAnsi="Book Antiqua"/>
          <w:sz w:val="20"/>
          <w:szCs w:val="20"/>
          <w:shd w:val="clear" w:color="auto" w:fill="F9F9F9"/>
        </w:rPr>
      </w:pPr>
    </w:p>
    <w:p w14:paraId="0F8F8129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5.</w:t>
      </w:r>
    </w:p>
    <w:p w14:paraId="0F5AC0FD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lastRenderedPageBreak/>
        <w:t>Nakon raspodjele rezultata prema ovoj Odluci, stanje prema osnovnim računima podskupine 922 višak/manjak prihoda su sljedeća:</w:t>
      </w:r>
    </w:p>
    <w:p w14:paraId="27AA5B24" w14:textId="77777777" w:rsidR="005024F8" w:rsidRPr="005024F8" w:rsidRDefault="005024F8" w:rsidP="005024F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Manjak prihoda od nefinancijske imovine          -439.425,93 eura</w:t>
      </w:r>
    </w:p>
    <w:p w14:paraId="4D773484" w14:textId="77777777" w:rsidR="005024F8" w:rsidRPr="005024F8" w:rsidRDefault="005024F8" w:rsidP="005024F8">
      <w:pPr>
        <w:ind w:left="720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REZULTAT                                                       -439.425,93 eura</w:t>
      </w:r>
    </w:p>
    <w:p w14:paraId="71268DE2" w14:textId="77777777" w:rsidR="005024F8" w:rsidRPr="005024F8" w:rsidRDefault="005024F8" w:rsidP="005024F8">
      <w:pPr>
        <w:ind w:left="720"/>
        <w:rPr>
          <w:rFonts w:ascii="Book Antiqua" w:hAnsi="Book Antiqua"/>
          <w:b/>
          <w:bCs/>
          <w:sz w:val="20"/>
          <w:szCs w:val="20"/>
        </w:rPr>
      </w:pPr>
    </w:p>
    <w:p w14:paraId="6F1E0073" w14:textId="77777777" w:rsidR="005024F8" w:rsidRPr="005024F8" w:rsidRDefault="005024F8" w:rsidP="005024F8">
      <w:pPr>
        <w:ind w:left="720"/>
        <w:rPr>
          <w:rFonts w:ascii="Book Antiqua" w:hAnsi="Book Antiqua"/>
          <w:b/>
          <w:bCs/>
          <w:sz w:val="20"/>
          <w:szCs w:val="20"/>
        </w:rPr>
      </w:pPr>
    </w:p>
    <w:p w14:paraId="6D042499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6.</w:t>
      </w:r>
    </w:p>
    <w:p w14:paraId="52FD0647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Struktura rezultata po izvorima financiranja je sljedeća:</w:t>
      </w:r>
    </w:p>
    <w:p w14:paraId="4FE6C602" w14:textId="77777777" w:rsidR="005024F8" w:rsidRPr="005024F8" w:rsidRDefault="005024F8" w:rsidP="005024F8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W w:w="7640" w:type="dxa"/>
        <w:tblInd w:w="714" w:type="dxa"/>
        <w:tblLook w:val="04A0" w:firstRow="1" w:lastRow="0" w:firstColumn="1" w:lastColumn="0" w:noHBand="0" w:noVBand="1"/>
      </w:tblPr>
      <w:tblGrid>
        <w:gridCol w:w="5880"/>
        <w:gridCol w:w="1760"/>
      </w:tblGrid>
      <w:tr w:rsidR="005024F8" w:rsidRPr="005024F8" w14:paraId="33396D24" w14:textId="77777777" w:rsidTr="005E0A45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0A00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11 Opći prihodi i primici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8295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-21.850,18</w:t>
            </w:r>
          </w:p>
        </w:tc>
      </w:tr>
      <w:tr w:rsidR="005024F8" w:rsidRPr="005024F8" w14:paraId="647FA16F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BDD8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41 Prihodi od komunalne naknade i doprinosa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D10D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-32.212,46</w:t>
            </w:r>
          </w:p>
        </w:tc>
      </w:tr>
      <w:tr w:rsidR="005024F8" w:rsidRPr="005024F8" w14:paraId="21577A20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04A1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44 Naknade za eksploataciju mineralnih sirovina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5E25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-315.731,88</w:t>
            </w:r>
          </w:p>
        </w:tc>
      </w:tr>
      <w:tr w:rsidR="005024F8" w:rsidRPr="005024F8" w14:paraId="1AC77593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D872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51 Tekuće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5771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-4.438,08</w:t>
            </w:r>
          </w:p>
        </w:tc>
      </w:tr>
      <w:tr w:rsidR="005024F8" w:rsidRPr="005024F8" w14:paraId="31623EFB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54FA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52 Kapitalne pomoći iz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ED16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-56.939,72</w:t>
            </w:r>
          </w:p>
        </w:tc>
      </w:tr>
      <w:tr w:rsidR="005024F8" w:rsidRPr="005024F8" w14:paraId="5A567E2A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02CB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53 Pomoći od izvanproračunskih korisnika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F6E6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-35,00</w:t>
            </w:r>
          </w:p>
        </w:tc>
      </w:tr>
      <w:tr w:rsidR="005024F8" w:rsidRPr="005024F8" w14:paraId="284ABB5B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FC55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 xml:space="preserve">54 Tekuće pomoći temeljem prijenosa EU sredstava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1203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-17.951,95</w:t>
            </w:r>
          </w:p>
        </w:tc>
      </w:tr>
      <w:tr w:rsidR="005024F8" w:rsidRPr="005024F8" w14:paraId="280413A2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69B9" w14:textId="77777777" w:rsidR="005024F8" w:rsidRPr="005024F8" w:rsidRDefault="005024F8" w:rsidP="005E0A45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71 Manjak prihoda od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CBFA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color w:val="000000"/>
                <w:sz w:val="20"/>
                <w:szCs w:val="20"/>
              </w:rPr>
              <w:t>9.733,34</w:t>
            </w:r>
          </w:p>
        </w:tc>
      </w:tr>
      <w:tr w:rsidR="005024F8" w:rsidRPr="005024F8" w14:paraId="4D952CA6" w14:textId="77777777" w:rsidTr="005E0A45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136" w14:textId="77777777" w:rsidR="005024F8" w:rsidRPr="005024F8" w:rsidRDefault="005024F8" w:rsidP="005E0A45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89C6" w14:textId="77777777" w:rsidR="005024F8" w:rsidRPr="005024F8" w:rsidRDefault="005024F8" w:rsidP="005E0A45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5024F8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-439.425,93</w:t>
            </w:r>
          </w:p>
        </w:tc>
      </w:tr>
    </w:tbl>
    <w:p w14:paraId="6EDEAD3A" w14:textId="77777777" w:rsidR="005024F8" w:rsidRPr="005024F8" w:rsidRDefault="005024F8" w:rsidP="005024F8">
      <w:pPr>
        <w:rPr>
          <w:rFonts w:ascii="Book Antiqua" w:hAnsi="Book Antiqua"/>
          <w:b/>
          <w:bCs/>
          <w:sz w:val="20"/>
          <w:szCs w:val="20"/>
        </w:rPr>
      </w:pPr>
    </w:p>
    <w:p w14:paraId="6FA86A80" w14:textId="77777777" w:rsidR="005024F8" w:rsidRPr="005024F8" w:rsidRDefault="005024F8" w:rsidP="005024F8">
      <w:pPr>
        <w:rPr>
          <w:rFonts w:ascii="Book Antiqua" w:hAnsi="Book Antiqua"/>
          <w:sz w:val="20"/>
          <w:szCs w:val="20"/>
        </w:rPr>
      </w:pPr>
    </w:p>
    <w:p w14:paraId="2B0AA803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7.</w:t>
      </w:r>
    </w:p>
    <w:p w14:paraId="0B7D617D" w14:textId="7A207B61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>Manjak prihoda od nefinancijske imovine u iznosu od 439.425,93 eura, sukladno članku 6. ove odluke, uvrstit će se u I. izmjene i dopune proračuna Općine Tovarnik za 2026. godinu.</w:t>
      </w:r>
    </w:p>
    <w:p w14:paraId="6411B70C" w14:textId="77777777" w:rsidR="005024F8" w:rsidRPr="005024F8" w:rsidRDefault="005024F8" w:rsidP="005024F8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Članak 8.</w:t>
      </w:r>
    </w:p>
    <w:p w14:paraId="16A841DF" w14:textId="53831D15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Ova odluka stupa na snagu osmog dana od dana objave u </w:t>
      </w:r>
      <w:r w:rsidR="006520DF">
        <w:rPr>
          <w:rFonts w:ascii="Book Antiqua" w:hAnsi="Book Antiqua"/>
          <w:sz w:val="20"/>
          <w:szCs w:val="20"/>
        </w:rPr>
        <w:t>„</w:t>
      </w:r>
      <w:r w:rsidRPr="005024F8">
        <w:rPr>
          <w:rFonts w:ascii="Book Antiqua" w:hAnsi="Book Antiqua"/>
          <w:sz w:val="20"/>
          <w:szCs w:val="20"/>
        </w:rPr>
        <w:t>Službenom vjesniku</w:t>
      </w:r>
      <w:r w:rsidR="006520DF">
        <w:rPr>
          <w:rFonts w:ascii="Book Antiqua" w:hAnsi="Book Antiqua"/>
          <w:sz w:val="20"/>
          <w:szCs w:val="20"/>
        </w:rPr>
        <w:t>“</w:t>
      </w:r>
      <w:r w:rsidRPr="005024F8">
        <w:rPr>
          <w:rFonts w:ascii="Book Antiqua" w:hAnsi="Book Antiqua"/>
          <w:sz w:val="20"/>
          <w:szCs w:val="20"/>
        </w:rPr>
        <w:t xml:space="preserve"> Vukovarsko-srijemske županije.</w:t>
      </w:r>
    </w:p>
    <w:p w14:paraId="2D066156" w14:textId="77777777" w:rsidR="005024F8" w:rsidRPr="005024F8" w:rsidRDefault="005024F8" w:rsidP="005024F8">
      <w:pPr>
        <w:jc w:val="both"/>
        <w:rPr>
          <w:rFonts w:ascii="Book Antiqua" w:hAnsi="Book Antiqua"/>
          <w:sz w:val="20"/>
          <w:szCs w:val="20"/>
        </w:rPr>
      </w:pPr>
    </w:p>
    <w:p w14:paraId="2FD55A51" w14:textId="1C2C0323" w:rsidR="005024F8" w:rsidRPr="005024F8" w:rsidRDefault="005024F8" w:rsidP="005024F8">
      <w:pPr>
        <w:jc w:val="right"/>
        <w:rPr>
          <w:rFonts w:ascii="Book Antiqua" w:hAnsi="Book Antiqua"/>
          <w:b/>
          <w:bCs/>
          <w:sz w:val="20"/>
          <w:szCs w:val="20"/>
        </w:rPr>
      </w:pPr>
      <w:r w:rsidRPr="005024F8">
        <w:rPr>
          <w:rFonts w:ascii="Book Antiqua" w:hAnsi="Book Antiqua"/>
          <w:b/>
          <w:bCs/>
          <w:sz w:val="20"/>
          <w:szCs w:val="20"/>
        </w:rPr>
        <w:t>PREDSJEDNIK</w:t>
      </w:r>
      <w:r w:rsidR="006520DF">
        <w:rPr>
          <w:rFonts w:ascii="Book Antiqua" w:hAnsi="Book Antiqua"/>
          <w:b/>
          <w:bCs/>
          <w:sz w:val="20"/>
          <w:szCs w:val="20"/>
        </w:rPr>
        <w:t xml:space="preserve"> OPĆINSKOG VIJEĆA </w:t>
      </w:r>
    </w:p>
    <w:p w14:paraId="53861320" w14:textId="18AB09ED" w:rsidR="005024F8" w:rsidRPr="005024F8" w:rsidRDefault="005024F8" w:rsidP="005024F8">
      <w:pPr>
        <w:jc w:val="right"/>
        <w:rPr>
          <w:rFonts w:ascii="Book Antiqua" w:hAnsi="Book Antiqua"/>
          <w:sz w:val="20"/>
          <w:szCs w:val="20"/>
        </w:rPr>
      </w:pPr>
      <w:r w:rsidRPr="005024F8">
        <w:rPr>
          <w:rFonts w:ascii="Book Antiqua" w:hAnsi="Book Antiqua"/>
          <w:sz w:val="20"/>
          <w:szCs w:val="20"/>
        </w:rPr>
        <w:t xml:space="preserve">Dubravko Blašković </w:t>
      </w:r>
    </w:p>
    <w:p w14:paraId="1CB2358B" w14:textId="77777777" w:rsidR="006310DE" w:rsidRPr="005024F8" w:rsidRDefault="006310DE">
      <w:pPr>
        <w:rPr>
          <w:rFonts w:ascii="Book Antiqua" w:hAnsi="Book Antiqua"/>
          <w:sz w:val="20"/>
          <w:szCs w:val="20"/>
        </w:rPr>
      </w:pPr>
    </w:p>
    <w:sectPr w:rsidR="006310DE" w:rsidRPr="0050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42A8D"/>
    <w:multiLevelType w:val="hybridMultilevel"/>
    <w:tmpl w:val="323A33CA"/>
    <w:lvl w:ilvl="0" w:tplc="ECB43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3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8"/>
    <w:rsid w:val="000E0AD4"/>
    <w:rsid w:val="005024F8"/>
    <w:rsid w:val="00572C9B"/>
    <w:rsid w:val="006310DE"/>
    <w:rsid w:val="006520DF"/>
    <w:rsid w:val="007D2EA5"/>
    <w:rsid w:val="00B05748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E464"/>
  <w15:chartTrackingRefBased/>
  <w15:docId w15:val="{74071672-17E3-4E1C-BF46-A94A5DC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2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2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2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2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2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2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2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2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2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2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2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2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24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24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24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24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24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24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2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2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2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24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24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24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2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24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24F8"/>
    <w:rPr>
      <w:b/>
      <w:bCs/>
      <w:smallCaps/>
      <w:color w:val="2F5496" w:themeColor="accent1" w:themeShade="BF"/>
      <w:spacing w:val="5"/>
    </w:rPr>
  </w:style>
  <w:style w:type="paragraph" w:styleId="Tijeloteksta3">
    <w:name w:val="Body Text 3"/>
    <w:basedOn w:val="Normal"/>
    <w:link w:val="Tijeloteksta3Char"/>
    <w:rsid w:val="005024F8"/>
    <w:pPr>
      <w:spacing w:after="0" w:line="240" w:lineRule="auto"/>
      <w:jc w:val="both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5024F8"/>
    <w:rPr>
      <w:rFonts w:ascii="HRTimes" w:eastAsia="Times New Roman" w:hAnsi="HRTimes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rsid w:val="005024F8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5024F8"/>
    <w:rPr>
      <w:rFonts w:ascii="HRTimes" w:eastAsia="Times New Roman" w:hAnsi="HRTimes" w:cs="Times New Roman"/>
      <w:kern w:val="0"/>
      <w:sz w:val="20"/>
      <w:szCs w:val="20"/>
      <w:lang w:eastAsia="hr-HR"/>
      <w14:ligatures w14:val="none"/>
    </w:rPr>
  </w:style>
  <w:style w:type="character" w:customStyle="1" w:styleId="apple-converted-space">
    <w:name w:val="apple-converted-space"/>
    <w:rsid w:val="005024F8"/>
  </w:style>
  <w:style w:type="paragraph" w:styleId="Bezproreda">
    <w:name w:val="No Spacing"/>
    <w:qFormat/>
    <w:rsid w:val="005024F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4</cp:revision>
  <cp:lastPrinted>2026-06-02T09:25:00Z</cp:lastPrinted>
  <dcterms:created xsi:type="dcterms:W3CDTF">2026-06-01T09:58:00Z</dcterms:created>
  <dcterms:modified xsi:type="dcterms:W3CDTF">2026-06-02T09:26:00Z</dcterms:modified>
</cp:coreProperties>
</file>