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F265" w14:textId="77777777" w:rsidR="000D7107" w:rsidRPr="007B2C73" w:rsidRDefault="000D7107" w:rsidP="000D7107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7B2C73">
        <w:rPr>
          <w:rFonts w:ascii="Book Antiqua" w:hAnsi="Book Antiqua" w:cs="Times New Roman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60288" behindDoc="1" locked="0" layoutInCell="1" allowOverlap="1" wp14:anchorId="1FD9D730" wp14:editId="032117E5">
            <wp:simplePos x="0" y="0"/>
            <wp:positionH relativeFrom="page">
              <wp:posOffset>1333746</wp:posOffset>
            </wp:positionH>
            <wp:positionV relativeFrom="page">
              <wp:posOffset>362585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7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CCB4C7" w14:textId="77777777" w:rsidR="000D7107" w:rsidRPr="007B2C73" w:rsidRDefault="000D7107" w:rsidP="000D7107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624016F3" w14:textId="77777777" w:rsidR="000D7107" w:rsidRPr="007B2C73" w:rsidRDefault="000D7107" w:rsidP="000D7107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7B2C73">
        <w:rPr>
          <w:rFonts w:ascii="Book Antiqua" w:hAnsi="Book Antiqua" w:cs="Times New Roman"/>
          <w:kern w:val="0"/>
          <w:sz w:val="20"/>
          <w:szCs w:val="20"/>
          <w14:ligatures w14:val="none"/>
        </w:rPr>
        <w:t>REPUBLIKA HRVATSKA</w:t>
      </w:r>
    </w:p>
    <w:p w14:paraId="4FBD5CA4" w14:textId="77777777" w:rsidR="000D7107" w:rsidRPr="007B2C73" w:rsidRDefault="000D7107" w:rsidP="000D7107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7B2C73">
        <w:rPr>
          <w:rFonts w:ascii="Book Antiqua" w:hAnsi="Book Antiqua" w:cs="Times New Roman"/>
          <w:kern w:val="0"/>
          <w:sz w:val="20"/>
          <w:szCs w:val="20"/>
          <w14:ligatures w14:val="none"/>
        </w:rPr>
        <w:t>VUKOVARSKO-SRIJEMSKA ŽUPANIJA</w:t>
      </w:r>
    </w:p>
    <w:p w14:paraId="2E97DCCA" w14:textId="77777777" w:rsidR="000D7107" w:rsidRPr="007B2C73" w:rsidRDefault="000D7107" w:rsidP="000D7107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7B2C73">
        <w:rPr>
          <w:rFonts w:ascii="Book Antiqua" w:hAnsi="Book Antiqua" w:cs="Times New Roman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279E5C4C" wp14:editId="01479A9E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C73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</w:t>
      </w:r>
    </w:p>
    <w:p w14:paraId="12FE09BA" w14:textId="77777777" w:rsidR="000D7107" w:rsidRPr="007B2C73" w:rsidRDefault="000D7107" w:rsidP="000D7107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7B2C73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OPĆINA TOVARNIK</w:t>
      </w:r>
    </w:p>
    <w:p w14:paraId="36C7DDF7" w14:textId="77777777" w:rsidR="000D7107" w:rsidRPr="007B2C73" w:rsidRDefault="000D7107" w:rsidP="000D7107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2C9B2BD1" w14:textId="77777777" w:rsidR="000D7107" w:rsidRPr="007B2C73" w:rsidRDefault="000D7107" w:rsidP="000D7107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57ECB7A8" w14:textId="77777777" w:rsidR="000D7107" w:rsidRPr="007B2C73" w:rsidRDefault="000D7107" w:rsidP="000D7107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7B2C73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OPĆINSKO VIJEĆE</w:t>
      </w:r>
    </w:p>
    <w:p w14:paraId="2F4E93DB" w14:textId="77777777" w:rsidR="000D7107" w:rsidRPr="007B2C73" w:rsidRDefault="000D7107" w:rsidP="000D7107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7B2C73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              </w:t>
      </w:r>
    </w:p>
    <w:p w14:paraId="748AFAA4" w14:textId="1E541F50" w:rsidR="000D7107" w:rsidRPr="007B2C73" w:rsidRDefault="000D7107" w:rsidP="000D7107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7B2C73">
        <w:rPr>
          <w:rFonts w:ascii="Book Antiqua" w:hAnsi="Book Antiqua" w:cs="Times New Roman"/>
          <w:kern w:val="0"/>
          <w:sz w:val="20"/>
          <w:szCs w:val="20"/>
          <w14:ligatures w14:val="none"/>
        </w:rPr>
        <w:t>KLASA: 024-03/26-01/2</w:t>
      </w:r>
      <w:r>
        <w:rPr>
          <w:rFonts w:ascii="Book Antiqua" w:hAnsi="Book Antiqua" w:cs="Times New Roman"/>
          <w:kern w:val="0"/>
          <w:sz w:val="20"/>
          <w:szCs w:val="20"/>
          <w14:ligatures w14:val="none"/>
        </w:rPr>
        <w:t>6</w:t>
      </w:r>
    </w:p>
    <w:p w14:paraId="12BE6DBA" w14:textId="77777777" w:rsidR="000D7107" w:rsidRPr="007B2C73" w:rsidRDefault="000D7107" w:rsidP="000D7107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7B2C73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URBROJ: 2196-28-02-26-1           </w:t>
      </w:r>
    </w:p>
    <w:p w14:paraId="2E842DB2" w14:textId="77777777" w:rsidR="000D7107" w:rsidRPr="007B2C73" w:rsidRDefault="000D7107" w:rsidP="000D7107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7B2C73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Tovarnik, 29. svibnja 2026. </w:t>
      </w:r>
    </w:p>
    <w:p w14:paraId="61213362" w14:textId="77777777" w:rsidR="006310DE" w:rsidRDefault="006310DE"/>
    <w:p w14:paraId="699B09C4" w14:textId="22F31B31" w:rsidR="000D7107" w:rsidRPr="00620A64" w:rsidRDefault="000D7107" w:rsidP="000D7107">
      <w:pPr>
        <w:jc w:val="both"/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</w:pPr>
      <w:r w:rsidRPr="00620A64"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 xml:space="preserve">Na temelju članka </w:t>
      </w:r>
      <w:r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>11</w:t>
      </w:r>
      <w:r w:rsidRPr="00620A64"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>. Odluke  o javnim priznanjima Općine Tovarnik ( „Službeni vjesnik „ Vukovarsko-srijemske županije br. 5/16  )  i članak 31. Statuta Općine Tovarnik  ( Službeni vjesnik Vukovarsko-srijemske županije, broj 3/2</w:t>
      </w:r>
      <w:r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>2</w:t>
      </w:r>
      <w:r w:rsidRPr="00620A64"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>, 9/2</w:t>
      </w:r>
      <w:r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>5</w:t>
      </w:r>
      <w:r w:rsidRPr="00620A64"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 xml:space="preserve"> ), a na  </w:t>
      </w:r>
      <w:r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 xml:space="preserve">prijedlog </w:t>
      </w:r>
      <w:r w:rsidRPr="00620A64"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>Povjerenstv</w:t>
      </w:r>
      <w:r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>a</w:t>
      </w:r>
      <w:r w:rsidRPr="00620A64"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 xml:space="preserve"> za dodjelu javnih priznanja Općine Tovarnik, Općinsko vijeće na svojoj 9. sjednici održanoj  29. svibnja 2026. donosi</w:t>
      </w:r>
    </w:p>
    <w:p w14:paraId="7BD29CFC" w14:textId="77777777" w:rsidR="000D7107" w:rsidRPr="00620A64" w:rsidRDefault="000D7107" w:rsidP="000D7107">
      <w:pPr>
        <w:keepNext/>
        <w:keepLines/>
        <w:spacing w:before="160" w:after="80"/>
        <w:jc w:val="center"/>
        <w:outlineLvl w:val="1"/>
        <w:rPr>
          <w:rFonts w:ascii="Book Antiqua" w:eastAsiaTheme="majorEastAsia" w:hAnsi="Book Antiqua" w:cs="Times New Roman"/>
          <w:b/>
          <w:iCs/>
        </w:rPr>
      </w:pPr>
      <w:r w:rsidRPr="00620A64">
        <w:rPr>
          <w:rFonts w:ascii="Book Antiqua" w:eastAsiaTheme="majorEastAsia" w:hAnsi="Book Antiqua" w:cs="Times New Roman"/>
          <w:b/>
          <w:iCs/>
        </w:rPr>
        <w:t>ODLUKU</w:t>
      </w:r>
    </w:p>
    <w:p w14:paraId="59DD6841" w14:textId="77777777" w:rsidR="000D7107" w:rsidRPr="00620A64" w:rsidRDefault="000D7107" w:rsidP="000D7107">
      <w:pPr>
        <w:keepNext/>
        <w:keepLines/>
        <w:spacing w:before="160" w:after="80"/>
        <w:jc w:val="center"/>
        <w:outlineLvl w:val="1"/>
        <w:rPr>
          <w:rFonts w:ascii="Book Antiqua" w:eastAsiaTheme="majorEastAsia" w:hAnsi="Book Antiqua" w:cs="Times New Roman"/>
          <w:b/>
          <w:iCs/>
        </w:rPr>
      </w:pPr>
      <w:r w:rsidRPr="00620A64">
        <w:rPr>
          <w:rFonts w:ascii="Book Antiqua" w:eastAsiaTheme="majorEastAsia" w:hAnsi="Book Antiqua" w:cs="Times New Roman"/>
          <w:b/>
          <w:iCs/>
        </w:rPr>
        <w:t xml:space="preserve"> o dodjeli javnog priznanja Općine Tovarnik</w:t>
      </w:r>
    </w:p>
    <w:p w14:paraId="1DF5776F" w14:textId="77777777" w:rsidR="000D7107" w:rsidRPr="00620A64" w:rsidRDefault="000D7107" w:rsidP="000D7107">
      <w:pPr>
        <w:keepNext/>
        <w:keepLines/>
        <w:spacing w:before="160" w:after="80"/>
        <w:jc w:val="center"/>
        <w:outlineLvl w:val="1"/>
        <w:rPr>
          <w:rFonts w:ascii="Book Antiqua" w:eastAsiaTheme="majorEastAsia" w:hAnsi="Book Antiqua" w:cs="Times New Roman"/>
          <w:b/>
          <w:iCs/>
        </w:rPr>
      </w:pPr>
      <w:r w:rsidRPr="00620A64">
        <w:rPr>
          <w:rFonts w:ascii="Book Antiqua" w:eastAsiaTheme="majorEastAsia" w:hAnsi="Book Antiqua" w:cs="Times New Roman"/>
          <w:b/>
          <w:iCs/>
        </w:rPr>
        <w:t xml:space="preserve">nagrada </w:t>
      </w:r>
      <w:r>
        <w:rPr>
          <w:rFonts w:ascii="Book Antiqua" w:eastAsiaTheme="majorEastAsia" w:hAnsi="Book Antiqua" w:cs="Times New Roman"/>
          <w:b/>
          <w:iCs/>
        </w:rPr>
        <w:t xml:space="preserve">Općine Tovarnik </w:t>
      </w:r>
    </w:p>
    <w:p w14:paraId="6CF38D6D" w14:textId="5F4D5078" w:rsidR="000D7107" w:rsidRPr="00620A64" w:rsidRDefault="000D7107" w:rsidP="000D7107">
      <w:pPr>
        <w:keepNext/>
        <w:keepLines/>
        <w:spacing w:before="160" w:after="80"/>
        <w:jc w:val="center"/>
        <w:outlineLvl w:val="1"/>
        <w:rPr>
          <w:rFonts w:ascii="Book Antiqua" w:eastAsiaTheme="majorEastAsia" w:hAnsi="Book Antiqua" w:cs="Times New Roman"/>
          <w:b/>
          <w:iCs/>
        </w:rPr>
      </w:pPr>
      <w:r>
        <w:rPr>
          <w:rFonts w:ascii="Book Antiqua" w:eastAsiaTheme="majorEastAsia" w:hAnsi="Book Antiqua" w:cs="Times New Roman"/>
          <w:b/>
          <w:iCs/>
        </w:rPr>
        <w:t xml:space="preserve">Osnovnoj školi </w:t>
      </w:r>
      <w:r>
        <w:rPr>
          <w:rFonts w:ascii="Book Antiqua" w:eastAsiaTheme="majorEastAsia" w:hAnsi="Book Antiqua" w:cs="Times New Roman"/>
          <w:b/>
          <w:iCs/>
        </w:rPr>
        <w:t xml:space="preserve">Antuna Gustava </w:t>
      </w:r>
      <w:r>
        <w:rPr>
          <w:rFonts w:ascii="Book Antiqua" w:eastAsiaTheme="majorEastAsia" w:hAnsi="Book Antiqua" w:cs="Times New Roman"/>
          <w:b/>
          <w:iCs/>
        </w:rPr>
        <w:t xml:space="preserve"> Matoš</w:t>
      </w:r>
      <w:r>
        <w:rPr>
          <w:rFonts w:ascii="Book Antiqua" w:eastAsiaTheme="majorEastAsia" w:hAnsi="Book Antiqua" w:cs="Times New Roman"/>
          <w:b/>
          <w:iCs/>
        </w:rPr>
        <w:t>a</w:t>
      </w:r>
      <w:r>
        <w:rPr>
          <w:rFonts w:ascii="Book Antiqua" w:eastAsiaTheme="majorEastAsia" w:hAnsi="Book Antiqua" w:cs="Times New Roman"/>
          <w:b/>
          <w:iCs/>
        </w:rPr>
        <w:t xml:space="preserve"> </w:t>
      </w:r>
      <w:r>
        <w:rPr>
          <w:rFonts w:ascii="Book Antiqua" w:eastAsiaTheme="majorEastAsia" w:hAnsi="Book Antiqua" w:cs="Times New Roman"/>
          <w:b/>
          <w:iCs/>
        </w:rPr>
        <w:t xml:space="preserve"> </w:t>
      </w:r>
      <w:r>
        <w:rPr>
          <w:rFonts w:ascii="Book Antiqua" w:eastAsiaTheme="majorEastAsia" w:hAnsi="Book Antiqua" w:cs="Times New Roman"/>
          <w:b/>
          <w:iCs/>
        </w:rPr>
        <w:t xml:space="preserve">Tovarnik </w:t>
      </w:r>
    </w:p>
    <w:p w14:paraId="56857FF7" w14:textId="77777777" w:rsidR="000D7107" w:rsidRPr="00620A64" w:rsidRDefault="000D7107" w:rsidP="000D7107">
      <w:pPr>
        <w:keepNext/>
        <w:keepLines/>
        <w:spacing w:before="160" w:after="80"/>
        <w:outlineLvl w:val="1"/>
        <w:rPr>
          <w:rFonts w:ascii="Book Antiqua" w:eastAsiaTheme="majorEastAsia" w:hAnsi="Book Antiqua" w:cs="Times New Roman"/>
          <w:iCs/>
        </w:rPr>
      </w:pPr>
    </w:p>
    <w:p w14:paraId="5A8AF9D3" w14:textId="77777777" w:rsidR="000D7107" w:rsidRPr="00620A64" w:rsidRDefault="000D7107" w:rsidP="000D7107">
      <w:pPr>
        <w:keepNext/>
        <w:keepLines/>
        <w:spacing w:before="160" w:after="80"/>
        <w:jc w:val="center"/>
        <w:outlineLvl w:val="1"/>
        <w:rPr>
          <w:rFonts w:ascii="Book Antiqua" w:eastAsiaTheme="majorEastAsia" w:hAnsi="Book Antiqua" w:cs="Times New Roman"/>
          <w:b/>
          <w:iCs/>
        </w:rPr>
      </w:pPr>
      <w:r w:rsidRPr="00620A64">
        <w:rPr>
          <w:rFonts w:ascii="Book Antiqua" w:eastAsiaTheme="majorEastAsia" w:hAnsi="Book Antiqua" w:cs="Times New Roman"/>
          <w:b/>
          <w:iCs/>
        </w:rPr>
        <w:t>I.</w:t>
      </w:r>
    </w:p>
    <w:p w14:paraId="0E908F5A" w14:textId="160EA767" w:rsidR="000D7107" w:rsidRPr="00620A64" w:rsidRDefault="000D7107" w:rsidP="000D7107">
      <w:pPr>
        <w:tabs>
          <w:tab w:val="left" w:pos="1279"/>
        </w:tabs>
        <w:jc w:val="both"/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</w:pPr>
      <w:r w:rsidRPr="00620A64"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 xml:space="preserve">Ovom se Odlukom dodjeljuje nagrada </w:t>
      </w:r>
      <w:r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 xml:space="preserve">Općine Tovarnik Osnovnoj školi </w:t>
      </w:r>
      <w:r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 xml:space="preserve">Antuna Gustava </w:t>
      </w:r>
      <w:r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 xml:space="preserve"> Matoša  Tovarnik </w:t>
      </w:r>
      <w:r w:rsidRPr="00620A64"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>za izniman doprinos odgoju i obrazovanju djece, promicanju znanja i vrijednosti te razvoju lokalne zajednice.</w:t>
      </w:r>
    </w:p>
    <w:p w14:paraId="5AD81C34" w14:textId="77777777" w:rsidR="000D7107" w:rsidRPr="00620A64" w:rsidRDefault="000D7107" w:rsidP="000D7107">
      <w:pPr>
        <w:tabs>
          <w:tab w:val="left" w:pos="1279"/>
        </w:tabs>
        <w:jc w:val="center"/>
        <w:rPr>
          <w:rFonts w:ascii="Book Antiqua" w:eastAsiaTheme="minorEastAsia" w:hAnsi="Book Antiqua" w:cs="Times New Roman"/>
          <w:b/>
          <w:iCs/>
          <w:kern w:val="0"/>
          <w:lang w:eastAsia="hr-HR"/>
          <w14:ligatures w14:val="none"/>
        </w:rPr>
      </w:pPr>
      <w:r w:rsidRPr="00620A64">
        <w:rPr>
          <w:rFonts w:ascii="Book Antiqua" w:eastAsiaTheme="minorEastAsia" w:hAnsi="Book Antiqua" w:cs="Times New Roman"/>
          <w:b/>
          <w:iCs/>
          <w:kern w:val="0"/>
          <w:lang w:eastAsia="hr-HR"/>
          <w14:ligatures w14:val="none"/>
        </w:rPr>
        <w:t>II.</w:t>
      </w:r>
    </w:p>
    <w:p w14:paraId="526B289A" w14:textId="3678AF92" w:rsidR="000D7107" w:rsidRPr="00620A64" w:rsidRDefault="000D7107" w:rsidP="000D7107">
      <w:pPr>
        <w:tabs>
          <w:tab w:val="left" w:pos="1279"/>
        </w:tabs>
        <w:jc w:val="both"/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</w:pPr>
      <w:r w:rsidRPr="00620A64"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>Ova Odluka stupa na snagu danom donošenja i bit će objavljena u „Službenom vjesniku“ Vukovarsko-srijemske županije.</w:t>
      </w:r>
    </w:p>
    <w:p w14:paraId="74017C4D" w14:textId="77777777" w:rsidR="000D7107" w:rsidRPr="00620A64" w:rsidRDefault="000D7107" w:rsidP="000D7107">
      <w:pPr>
        <w:spacing w:after="0"/>
        <w:jc w:val="center"/>
        <w:rPr>
          <w:rFonts w:ascii="Book Antiqua" w:eastAsiaTheme="minorEastAsia" w:hAnsi="Book Antiqua" w:cs="Times New Roman"/>
          <w:b/>
          <w:iCs/>
          <w:kern w:val="0"/>
          <w:lang w:eastAsia="hr-HR"/>
          <w14:ligatures w14:val="none"/>
        </w:rPr>
      </w:pPr>
      <w:r w:rsidRPr="00620A64">
        <w:rPr>
          <w:rFonts w:ascii="Book Antiqua" w:eastAsiaTheme="minorEastAsia" w:hAnsi="Book Antiqua" w:cs="Times New Roman"/>
          <w:b/>
          <w:iCs/>
          <w:kern w:val="0"/>
          <w:lang w:eastAsia="hr-HR"/>
          <w14:ligatures w14:val="none"/>
        </w:rPr>
        <w:t xml:space="preserve">OBRAZLOŽENJE </w:t>
      </w:r>
    </w:p>
    <w:p w14:paraId="780A8670" w14:textId="77777777" w:rsidR="000D7107" w:rsidRPr="00620A64" w:rsidRDefault="000D7107" w:rsidP="000D7107">
      <w:pPr>
        <w:spacing w:after="0"/>
        <w:jc w:val="center"/>
        <w:rPr>
          <w:rFonts w:ascii="Book Antiqua" w:eastAsiaTheme="minorEastAsia" w:hAnsi="Book Antiqua" w:cs="Times New Roman"/>
          <w:b/>
          <w:iCs/>
          <w:kern w:val="0"/>
          <w:lang w:eastAsia="hr-HR"/>
          <w14:ligatures w14:val="none"/>
        </w:rPr>
      </w:pPr>
    </w:p>
    <w:p w14:paraId="46D46941" w14:textId="46957A57" w:rsidR="000D7107" w:rsidRPr="00620A64" w:rsidRDefault="000D7107" w:rsidP="000D7107">
      <w:pPr>
        <w:tabs>
          <w:tab w:val="left" w:pos="7380"/>
        </w:tabs>
        <w:jc w:val="both"/>
        <w:rPr>
          <w:rFonts w:ascii="Book Antiqua" w:eastAsiaTheme="minorEastAsia" w:hAnsi="Book Antiqua" w:cs="Times New Roman"/>
          <w:bCs/>
          <w:iCs/>
          <w:kern w:val="0"/>
          <w:lang w:eastAsia="hr-HR"/>
          <w14:ligatures w14:val="none"/>
        </w:rPr>
      </w:pPr>
      <w:r w:rsidRPr="00620A64">
        <w:rPr>
          <w:rFonts w:ascii="Book Antiqua" w:eastAsiaTheme="minorEastAsia" w:hAnsi="Book Antiqua" w:cs="Times New Roman"/>
          <w:bCs/>
          <w:iCs/>
          <w:kern w:val="0"/>
          <w:lang w:eastAsia="hr-HR"/>
          <w14:ligatures w14:val="none"/>
        </w:rPr>
        <w:t>Osnovna škola Antun Gustav</w:t>
      </w:r>
      <w:r>
        <w:rPr>
          <w:rFonts w:ascii="Book Antiqua" w:eastAsiaTheme="minorEastAsia" w:hAnsi="Book Antiqua" w:cs="Times New Roman"/>
          <w:bCs/>
          <w:iCs/>
          <w:kern w:val="0"/>
          <w:lang w:eastAsia="hr-HR"/>
          <w14:ligatures w14:val="none"/>
        </w:rPr>
        <w:t xml:space="preserve"> </w:t>
      </w:r>
      <w:r w:rsidRPr="00620A64">
        <w:rPr>
          <w:rFonts w:ascii="Book Antiqua" w:eastAsiaTheme="minorEastAsia" w:hAnsi="Book Antiqua" w:cs="Times New Roman"/>
          <w:bCs/>
          <w:iCs/>
          <w:kern w:val="0"/>
          <w:lang w:eastAsia="hr-HR"/>
          <w14:ligatures w14:val="none"/>
        </w:rPr>
        <w:t xml:space="preserve"> Matoš</w:t>
      </w:r>
      <w:r>
        <w:rPr>
          <w:rFonts w:ascii="Book Antiqua" w:eastAsiaTheme="minorEastAsia" w:hAnsi="Book Antiqua" w:cs="Times New Roman"/>
          <w:bCs/>
          <w:iCs/>
          <w:kern w:val="0"/>
          <w:lang w:eastAsia="hr-HR"/>
          <w14:ligatures w14:val="none"/>
        </w:rPr>
        <w:t xml:space="preserve"> </w:t>
      </w:r>
      <w:r w:rsidRPr="00620A64">
        <w:rPr>
          <w:rFonts w:ascii="Book Antiqua" w:eastAsiaTheme="minorEastAsia" w:hAnsi="Book Antiqua" w:cs="Times New Roman"/>
          <w:bCs/>
          <w:iCs/>
          <w:kern w:val="0"/>
          <w:lang w:eastAsia="hr-HR"/>
          <w14:ligatures w14:val="none"/>
        </w:rPr>
        <w:t xml:space="preserve"> Tovarnik svojim dugogodišnjim predanim radom i djelovanjem daje izniman doprinos razvoju odgoja i obrazovanja djece na području Općine Tovarnik. Kroz kvalitetan rad s učenicima, stručnost djelatnika i kontinuirano unapređenje nastavnog procesa, škola je postala važan nositelj obrazovnog, društvenog i kulturnog života zajednice.</w:t>
      </w:r>
    </w:p>
    <w:p w14:paraId="5DD6B21C" w14:textId="77777777" w:rsidR="000D7107" w:rsidRPr="00620A64" w:rsidRDefault="000D7107" w:rsidP="000D7107">
      <w:pPr>
        <w:tabs>
          <w:tab w:val="left" w:pos="7380"/>
        </w:tabs>
        <w:jc w:val="both"/>
        <w:rPr>
          <w:rFonts w:ascii="Book Antiqua" w:eastAsiaTheme="minorEastAsia" w:hAnsi="Book Antiqua" w:cs="Times New Roman"/>
          <w:bCs/>
          <w:iCs/>
          <w:kern w:val="0"/>
          <w:lang w:eastAsia="hr-HR"/>
          <w14:ligatures w14:val="none"/>
        </w:rPr>
      </w:pPr>
      <w:r w:rsidRPr="00620A64">
        <w:rPr>
          <w:rFonts w:ascii="Book Antiqua" w:eastAsiaTheme="minorEastAsia" w:hAnsi="Book Antiqua" w:cs="Times New Roman"/>
          <w:bCs/>
          <w:iCs/>
          <w:kern w:val="0"/>
          <w:lang w:eastAsia="hr-HR"/>
          <w14:ligatures w14:val="none"/>
        </w:rPr>
        <w:t>Posebno se ističe provođenje brojnih obrazovnih, kulturnih i razvojnih projekata kojima se kod učenika potiču znanje, kreativnost, odgovornost i zajedništvo. Sudjelovanjem u različitim programima i projektima škola je značajno pridonijela podizanju kvalitete osnovnog obrazovanja te stvaranju boljih uvjeta za rad i razvoj učenika.</w:t>
      </w:r>
    </w:p>
    <w:p w14:paraId="107BD1AA" w14:textId="77777777" w:rsidR="000D7107" w:rsidRPr="00620A64" w:rsidRDefault="000D7107" w:rsidP="000D7107">
      <w:pPr>
        <w:tabs>
          <w:tab w:val="left" w:pos="7380"/>
        </w:tabs>
        <w:jc w:val="both"/>
        <w:rPr>
          <w:rFonts w:ascii="Book Antiqua" w:eastAsiaTheme="minorEastAsia" w:hAnsi="Book Antiqua" w:cs="Times New Roman"/>
          <w:bCs/>
          <w:iCs/>
          <w:kern w:val="0"/>
          <w:lang w:eastAsia="hr-HR"/>
          <w14:ligatures w14:val="none"/>
        </w:rPr>
      </w:pPr>
      <w:r w:rsidRPr="00620A64">
        <w:rPr>
          <w:rFonts w:ascii="Book Antiqua" w:eastAsiaTheme="minorEastAsia" w:hAnsi="Book Antiqua" w:cs="Times New Roman"/>
          <w:bCs/>
          <w:iCs/>
          <w:kern w:val="0"/>
          <w:lang w:eastAsia="hr-HR"/>
          <w14:ligatures w14:val="none"/>
        </w:rPr>
        <w:lastRenderedPageBreak/>
        <w:t xml:space="preserve">Predanim radom </w:t>
      </w:r>
      <w:r>
        <w:rPr>
          <w:rFonts w:ascii="Book Antiqua" w:eastAsiaTheme="minorEastAsia" w:hAnsi="Book Antiqua" w:cs="Times New Roman"/>
          <w:bCs/>
          <w:iCs/>
          <w:kern w:val="0"/>
          <w:lang w:eastAsia="hr-HR"/>
          <w14:ligatures w14:val="none"/>
        </w:rPr>
        <w:t xml:space="preserve">ravnatelja, </w:t>
      </w:r>
      <w:r w:rsidRPr="00620A64">
        <w:rPr>
          <w:rFonts w:ascii="Book Antiqua" w:eastAsiaTheme="minorEastAsia" w:hAnsi="Book Antiqua" w:cs="Times New Roman"/>
          <w:bCs/>
          <w:iCs/>
          <w:kern w:val="0"/>
          <w:lang w:eastAsia="hr-HR"/>
          <w14:ligatures w14:val="none"/>
        </w:rPr>
        <w:t>učitelja, stručnih suradnika i svih djelatnika škole ostvareni su brojni uspjesi, a učenicima je omogućeno kvalitetnije i suvremenije obrazovanje te poticajno okruženje za osobni razvoj.</w:t>
      </w:r>
    </w:p>
    <w:p w14:paraId="7927130A" w14:textId="77777777" w:rsidR="000D7107" w:rsidRDefault="000D7107" w:rsidP="000D7107">
      <w:pPr>
        <w:tabs>
          <w:tab w:val="left" w:pos="7380"/>
        </w:tabs>
        <w:jc w:val="both"/>
        <w:rPr>
          <w:rFonts w:ascii="Book Antiqua" w:eastAsiaTheme="minorEastAsia" w:hAnsi="Book Antiqua" w:cs="Times New Roman"/>
          <w:bCs/>
          <w:iCs/>
          <w:kern w:val="0"/>
          <w:lang w:eastAsia="hr-HR"/>
          <w14:ligatures w14:val="none"/>
        </w:rPr>
      </w:pPr>
      <w:r w:rsidRPr="00620A64">
        <w:rPr>
          <w:rFonts w:ascii="Book Antiqua" w:eastAsiaTheme="minorEastAsia" w:hAnsi="Book Antiqua" w:cs="Times New Roman"/>
          <w:bCs/>
          <w:iCs/>
          <w:kern w:val="0"/>
          <w:lang w:eastAsia="hr-HR"/>
          <w14:ligatures w14:val="none"/>
        </w:rPr>
        <w:t>Dodjelom javnog priznanja – Nagrade Općine Tovarnik, želimo iskazati zahvalnost Osnovnoj školi Antuna Gustava Matoša Tovarnik za njezin velik doprinos odgoju i obrazovanju djece, promicanju znanja i vrijednosti te razvoju lokalne zajednice.</w:t>
      </w:r>
    </w:p>
    <w:p w14:paraId="7C889F2F" w14:textId="77777777" w:rsidR="000D7107" w:rsidRDefault="000D7107" w:rsidP="000D7107">
      <w:pPr>
        <w:tabs>
          <w:tab w:val="left" w:pos="7380"/>
        </w:tabs>
        <w:jc w:val="both"/>
        <w:rPr>
          <w:rFonts w:ascii="Book Antiqua" w:eastAsiaTheme="minorEastAsia" w:hAnsi="Book Antiqua" w:cs="Times New Roman"/>
          <w:bCs/>
          <w:iCs/>
          <w:kern w:val="0"/>
          <w:lang w:eastAsia="hr-HR"/>
          <w14:ligatures w14:val="none"/>
        </w:rPr>
      </w:pPr>
    </w:p>
    <w:p w14:paraId="3150040A" w14:textId="346D26F2" w:rsidR="000D7107" w:rsidRDefault="000D7107" w:rsidP="000D7107">
      <w:pPr>
        <w:tabs>
          <w:tab w:val="left" w:pos="7380"/>
        </w:tabs>
        <w:jc w:val="right"/>
        <w:rPr>
          <w:rFonts w:ascii="Book Antiqua" w:eastAsiaTheme="minorEastAsia" w:hAnsi="Book Antiqua" w:cs="Times New Roman"/>
          <w:bCs/>
          <w:iCs/>
          <w:kern w:val="0"/>
          <w:lang w:eastAsia="hr-HR"/>
          <w14:ligatures w14:val="none"/>
        </w:rPr>
      </w:pPr>
      <w:r>
        <w:rPr>
          <w:rFonts w:ascii="Book Antiqua" w:eastAsiaTheme="minorEastAsia" w:hAnsi="Book Antiqua" w:cs="Times New Roman"/>
          <w:bCs/>
          <w:iCs/>
          <w:kern w:val="0"/>
          <w:lang w:eastAsia="hr-HR"/>
          <w14:ligatures w14:val="none"/>
        </w:rPr>
        <w:t>PREDSJEDNIK  OPĆINSKOG VIJEĆA</w:t>
      </w:r>
    </w:p>
    <w:p w14:paraId="137C46D0" w14:textId="3AE9CD60" w:rsidR="000D7107" w:rsidRPr="00620A64" w:rsidRDefault="000D7107" w:rsidP="000D7107">
      <w:pPr>
        <w:tabs>
          <w:tab w:val="left" w:pos="7380"/>
        </w:tabs>
        <w:jc w:val="right"/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</w:pPr>
      <w:r>
        <w:rPr>
          <w:rFonts w:ascii="Book Antiqua" w:eastAsiaTheme="minorEastAsia" w:hAnsi="Book Antiqua" w:cs="Times New Roman"/>
          <w:bCs/>
          <w:iCs/>
          <w:kern w:val="0"/>
          <w:lang w:eastAsia="hr-HR"/>
          <w14:ligatures w14:val="none"/>
        </w:rPr>
        <w:t xml:space="preserve">Dubravko Blašković </w:t>
      </w:r>
    </w:p>
    <w:p w14:paraId="1745BE1D" w14:textId="77777777" w:rsidR="000D7107" w:rsidRDefault="000D7107"/>
    <w:sectPr w:rsidR="000D7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07"/>
    <w:rsid w:val="000D7107"/>
    <w:rsid w:val="001A1009"/>
    <w:rsid w:val="006310DE"/>
    <w:rsid w:val="007D2EA5"/>
    <w:rsid w:val="00B948E9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2E29"/>
  <w15:chartTrackingRefBased/>
  <w15:docId w15:val="{03816212-758F-4234-9520-9B78B26F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107"/>
  </w:style>
  <w:style w:type="paragraph" w:styleId="Naslov1">
    <w:name w:val="heading 1"/>
    <w:basedOn w:val="Normal"/>
    <w:next w:val="Normal"/>
    <w:link w:val="Naslov1Char"/>
    <w:uiPriority w:val="9"/>
    <w:qFormat/>
    <w:rsid w:val="000D7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D7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D71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D7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D71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D7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D7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D7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D7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D7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D7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D71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D710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D710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D71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D710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D71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D71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D7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D7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D7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D7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7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D710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D710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D710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D7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D710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D7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1</cp:revision>
  <dcterms:created xsi:type="dcterms:W3CDTF">2026-06-02T07:11:00Z</dcterms:created>
  <dcterms:modified xsi:type="dcterms:W3CDTF">2026-06-02T07:31:00Z</dcterms:modified>
</cp:coreProperties>
</file>