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3112810b8438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37121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TOVARNIK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1.361.683,25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1.258.212,73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1.314.099,85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1.006.187,62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47.583,40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252.025,11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529,6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292.999,45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255.488,39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292.219,45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255.488,39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87,4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244.636,05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3.463,28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1,4</w:t>
            </w:r>
          </w:p>
        </w:tc>
      </w:tr>
    </w:tbl>
    <w:p>
      <w:pPr>
        <w:spacing w:before="0" w:after="0"/>
      </w:pPr>
    </w:p>
    <w:p>
      <w:r>
        <w:t xml:space="preserve">U tekućem izvještajnom razdoblju Općina Tovarnik ostvarila je sljedeći rezultat poslovanja:</w:t>
      </w:r>
    </w:p>
    <w:p>
      <w:r>
        <w:t xml:space="preserve">Ukupni prihodi poslovanja (šifra 6) iznose 1.258.212,73 eura, dok ukupni rashodi poslovanja (šifra 3) iznose 1.006.187,62 eura. Razlika ukupno ostvarenih prihoda i rashoda poslovanja čini višak prihoda poslovanja (šifra X001) u iznosu od 252.025,11 eura.</w:t>
      </w:r>
    </w:p>
    <w:p>
      <w:r>
        <w:t xml:space="preserve">Ukupni rashodi za nabavu nefinancijske (šifra 4) iznose 255.488,39 eura. Prihodi od prodaje nefinancijske imovine (šifra 7) nisu ostvareni te je nastao manjak prihoda od nefinancijske imovine (šifra Y002) u iznosu od 255.488,39 eura.</w:t>
      </w:r>
    </w:p>
    <w:p>
      <w:r>
        <w:t xml:space="preserve">Razlikom ukupnih prihoda (šifra X067) i ukupnih rashoda (šifra Y034) ostvaren je ukupan manjak prihoda (šifra Y004) u iznosu od 3.463,28 eura.</w:t>
      </w:r>
    </w:p>
    <w:p>
      <w:r>
        <w:t xml:space="preserve">Ukupni rashodi i izdaci (šifra Y345) iznose 1.261.676,01 eura.</w:t>
      </w:r>
    </w:p>
    <w:p>
      <w:r>
        <w:t xml:space="preserve">Preneseni manjak prihoda i primitaka iznosi 439.425,93 eura. Slijedom prethodno navedenog, ostvaren je negativan rezultat poslovanja, odnosno ostvaren je manjak prihoda i primitaka za pokriće u sljedećem razdoblju (šifra Y006) u iznosu od 442.889,21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1.361.683,25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1.258.212,73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92,4</w:t>
            </w:r>
          </w:p>
        </w:tc>
      </w:tr>
    </w:tbl>
    <w:p>
      <w:pPr>
        <w:spacing w:before="0" w:after="0"/>
      </w:pPr>
    </w:p>
    <w:p>
      <w:r>
        <w:t xml:space="preserve">Ukupni prihodi poslovanja Općine Tovarnik na dan 30.06.2026. iznose 1.258.212,73 eura, što predstavlja smanjenje od 7,6%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283.366,82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426.605,81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150,5</w:t>
            </w:r>
          </w:p>
        </w:tc>
      </w:tr>
    </w:tbl>
    <w:p>
      <w:pPr>
        <w:spacing w:before="0" w:after="0"/>
      </w:pPr>
    </w:p>
    <w:p>
      <w:r>
        <w:t xml:space="preserve">Prihodi od poreza u izvještajnom razdoblju veći su za približno 50% u odnosu na izvještajno razdoblje prethodne godine. Povećanje se prvenstveno odnosi na veće ostvarenje poreza na dohodak što je rezultat povoljnijih gospodarskih kretanja, rasta zaposlenosti i plaća. Na ostvarenje ovih prihoda utjecala je dinamika uplata poreznih prihoda tijekom izvještajnog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796.962,81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612.034,92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76,8</w:t>
            </w:r>
          </w:p>
        </w:tc>
      </w:tr>
    </w:tbl>
    <w:p>
      <w:pPr>
        <w:spacing w:before="0" w:after="0"/>
      </w:pPr>
    </w:p>
    <w:p>
      <w:r>
        <w:t xml:space="preserve">Najveći udio u ukupnim prihodima zauzimaju pomoći iz inozemstva i od subjekata unutar općeg proračuna. Ovi prihodi obuhvaćaju: pomoći proračunu iz drugih proračuna, pomoći fiskalnog izravnanja i pomoći temeljem prijenosa EU sredstava. U odnosu na prethodno razdoblje smanjeni su za oko 20%, a smanjenje je najvećim dijelom rezultat uplate sredstava kapitalnih pomoći za izgradnju dječjeg vrtića u Ilači početkom 2025. godine, dok su u 2026. godini ova sredstva uplaćena u znatno manjem iznosu iako je provedba projekta još u tijeku. Također, početkom 2025. godine su uplaćena sredstva pomoći temeljem prijenosa EU sredstava za projekt sanacije divljeg odlagališta, čija provedba je završena u 2025. godini.</w:t>
      </w:r>
    </w:p>
    <w:p>
      <w:r>
        <w:t xml:space="preserve">Tekuće pomoći proračunu i izvanproračunskim korisnicima iz drugih proračuna su također smanjene za oko 50%. U izvještajnom razdoblju prethodne godine ostvarene su pomoći iz županijskog proračuna za nabavu namještaja i refundaciju troškova provedbe lokalnih izbora, dok u tekućem izvještajnom razdoblju navedene pomoći nisu ostvarene. Također, u tekućem izvještajnom razdoblju nisu ostvarene pomoći od Hrvatskog zavoda za zapošljavanje jer tijekom godine nisu bile zaposlene osobe u okviru programa javnih radova.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169.328,74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192.422,55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113,6</w:t>
            </w:r>
          </w:p>
        </w:tc>
      </w:tr>
    </w:tbl>
    <w:p>
      <w:pPr>
        <w:spacing w:before="0" w:after="0"/>
      </w:pPr>
    </w:p>
    <w:p>
      <w:r>
        <w:t xml:space="preserve">Ukupni prihodi od imovine povećani su za približno 14% u odnosu na izvještajno razdoblje prethodne godine. Najznačajnije povećanje ostvareno je na prihodima od zakupa i iznajmljivanja imovine, prvenstveno zbog većeg iznosa prihoda od zakupa poljoprivrednog zemljišta te povećanog broja zahtjeva za korištenje društvenih domova u vlasništvu Općine Tovarnik što je rezultiralo većim prihodima u tekućem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112.024,88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27.149,45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24,2</w:t>
            </w:r>
          </w:p>
        </w:tc>
      </w:tr>
    </w:tbl>
    <w:p>
      <w:pPr>
        <w:spacing w:before="0" w:after="0"/>
      </w:pPr>
    </w:p>
    <w:p>
      <w:r>
        <w:t xml:space="preserve">Značajno smanjenje u odnosu na izvještajno razdoblje prethodne godine evidentirano je na prihodima od upravnih i administrativnih pristojbi, pristojbi po posebnim propisima i naknada, a rezultat je najvećim dijelom uplate doprinosa za šume početkom 2025. godine, dok su u 2026. godini takve uplate izostale.</w:t>
      </w:r>
    </w:p>
    <w:p>
      <w:r>
        <w:t xml:space="preserve">Istodobno, značajno povećanje u odnosu na prethodno razdoblje evidentirano je na prihodima od komunalne i grobne naknade, a rezultat je naplate ovih naknada iz 2025. godine, kao i prethodnih godina s obzirom da su krajem 2025. godine poslane opomene za dospjela nepodmirena potraživanja po ovoj osnovi.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1.314.099,85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1.006.187,62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76,6</w:t>
            </w:r>
          </w:p>
        </w:tc>
      </w:tr>
    </w:tbl>
    <w:p>
      <w:pPr>
        <w:spacing w:before="0" w:after="0"/>
      </w:pPr>
    </w:p>
    <w:p>
      <w:r>
        <w:t xml:space="preserve">Ukupni rashodi poslovanja Općine Tovarnik na dan 30.06.2026. iznose 1.006.187,62 eura, što predstavlja smanjenje od 23,4%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502.271,30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295.142,78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58,8</w:t>
            </w:r>
          </w:p>
        </w:tc>
      </w:tr>
    </w:tbl>
    <w:p>
      <w:pPr>
        <w:spacing w:before="0" w:after="0"/>
      </w:pPr>
    </w:p>
    <w:p>
      <w:r>
        <w:t xml:space="preserve">Materijalni rashodi obuhvaćaju: naknade troškova zaposlenima, rashode za materijal i energiju, rashode za usluge i ostale nespomenute rashode poslovanja. Ovi rashodi su ukupno smanjeni za oko 40% u odnosu na izvještajno razdoblje prethodne godine. Značajno smanjenje ostvareno je na rashodima za uredski materijal i ostalim materijalnim rashodima, materijalu i dijelovima za tekuće i investicijsko održavanje, sitnom inventaru te uslugama tekućeg i investicijskog održavanja. Smanjenje je nastalo zbog smanjenih potreba za nabavom materijala i opreme te manjeg opsega radova održavanja u odnosu na izvještajno razdoblje prethodne godine. Također, smanjeni su rashodi za usluge promidžbe i informiranja jer je tijekom izvještajnog razdoblja proveden manji broj aktivnosti koje su zahtijevale promidžbene i informativne usluge.</w:t>
      </w:r>
    </w:p>
    <w:p>
      <w:r>
        <w:t xml:space="preserve">Značajno smanjenje u odnosu na izvještajno razdoblje prethodne godine evidentirano je na komunalnim uslugama, a smanjenje je nastalo prvenstveno zbog toga što su tijekom 2025. godine provedene jednokratne aktivnosti sanacije divljeg odlagališta otpada i uređenja prostora oko pomoćnog nogometnog igrališta. S obzirom da u izvještajnom razdoblju nije bilo potrebe za izvođenjem sličnih radova, rashodi po ovoj osnovi ostvareni su u znatno manjem iznosu.</w:t>
      </w:r>
    </w:p>
    <w:p>
      <w:r>
        <w:t xml:space="preserve">S druge strane, povećanje rashoda ostvareno je na službenim putovanjima radi sudjelovanja zaposlenika na stručnim usavršavanjima, edukacijama, sastancima i drugim službenim aktivnostima. Također, povećanje je ostvareno na rashodima za službenu, radnu i zaštitnu odjeću i obuću, a nastalo je sukladno potrebama radnih mjesta.</w:t>
      </w:r>
    </w:p>
    <w:p>
      <w:r>
        <w:t xml:space="preserve">Najveće povećanje evidentirano je na veterinarskim i higijeničarskim uslugama zbog povećanih troškova zbrinjavanja pasa, kao i na računalnim uslugama uslijed većeg opsega održavanja i korištenja informacijskih sustava.</w:t>
      </w:r>
    </w:p>
    <w:p>
      <w:r>
        <w:t xml:space="preserve">Rashodi za ostale usluge smanjeni su za približno 50%, a odnose se na provedbu projekta Edukativne i sportske aktivnosti za djecu od 1. do 4. razreda te usluge pri registraciji prijevoznih sredstava. U izvještajnom razdoblju prethodne godine provodio se sličan projekt pri čemu su ostvareni veći  rashodi u odnosu na tekuće izvještajno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152.633,94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77.101,68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50,5</w:t>
            </w:r>
          </w:p>
        </w:tc>
      </w:tr>
    </w:tbl>
    <w:p>
      <w:pPr>
        <w:spacing w:before="0" w:after="0"/>
      </w:pPr>
    </w:p>
    <w:p>
      <w:r>
        <w:t xml:space="preserve">Ostale naknade građanima i kućanstvima iz proračuna su smanjene za oko 50% u odnosu na izvještajno razdoblje prethodne godine, a smanjenje je rezultat manjeg broja zahtjeva za isplatu pomoći građanima i kućanstvima iz proračuna Općine Tovarnik.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85.144,89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41.699,46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49,0</w:t>
            </w:r>
          </w:p>
        </w:tc>
      </w:tr>
    </w:tbl>
    <w:p>
      <w:pPr>
        <w:spacing w:before="0" w:after="0"/>
      </w:pPr>
    </w:p>
    <w:p>
      <w:r>
        <w:t xml:space="preserve">Tekuće donacije u novcu su smanjene za oko 50% u odnosu na izvještajno razdoblje prethodne godine, a smanjenje je rezultat manjeg broja zahtjeva za isplatu tekućih donacija iz proračuna Općine Tovarnik.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228.781,00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255.488,39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111,7</w:t>
            </w:r>
          </w:p>
        </w:tc>
      </w:tr>
    </w:tbl>
    <w:p>
      <w:pPr>
        <w:spacing w:before="0" w:after="0"/>
      </w:pPr>
    </w:p>
    <w:p>
      <w:r>
        <w:t xml:space="preserve">Rashodi za nabavu proizvedene dugotrajne imovine povećani su u odnosu na izvještajno razdoblje prethodne godine za približno 10%. Značajna povećanja evidentirana su na cestama, željeznicama i ostalim prometnim objektima i ostalim građevinskim objektima, a rezultat su intenziviranja investicijskih projekata te većih rashoda za kapitalna ulaganja na građevinskim objektima.</w:t>
      </w:r>
    </w:p>
    <w:p>
      <w:r>
        <w:t xml:space="preserve">S druge strane rashodi za uredsku opremu i namještaj su značajno smanjeni s obzirom da u izvještajnom razdoblju nije bilo potrebe za nabavom nove opreme i namještaja.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388.571,59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na kraju izvještajnog razdoblja iznose 388.571,59 eura, a odnose se na obveze za rashode poslovanja u iznosu od 165.301,94 eura, obveze za nabavu nefinancijske imovine u iznosu od 94.931,57 eura i obveze za predujmove, depozite, jamčevne pologe i tuđe prihode u iznosu od 128.338,08 eura.</w:t>
      </w:r>
    </w:p>
    <w:p>
      <w:r>
        <w:t xml:space="preserve">Struktura obveza i planirani prihodi nisu bili optimalno usklađeni što je rezultiralo privremenim prekoračenjem rokova plaćanja, iako su u planu podmirenja svih obveza u što skorijem razdoblju. Također, tijekom izvještajnog razdoblja zabilježeno je povećanje troškova što nije u potpunosti bilo predviđeno financijskim planom, zbog čega je došlo do pritiska na likvidna sredstva.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EU izvještaj sadrži podatke o projektima:</w:t>
      </w:r>
    </w:p>
    <w:p>
      <w:pPr>
        <w:pStyle w:val="ListParagraph"/>
        <w:numPr>
          <w:ilvl w:val="0"/>
          <w:numId w:val="2"/>
        </w:numPr>
      </w:pPr>
      <w:r>
        <w:t xml:space="preserve">Zaželi - Brinemo o vama! čija je provedba započela u travnju 2024. godine. Projekt se financira 85% iz Europskog socijalnog fonda plus i 15% iz nacionalnih sredstava.</w:t>
      </w:r>
    </w:p>
    <w:p>
      <w:r>
        <w:t xml:space="preserve">U izvještajnom razdoblju, o okviru projekta Zaželi ostvareni su prihodi u ukupnom iznosu 247.2596,88 eura temeljem ZNS-a 7 i 8.</w:t>
      </w:r>
    </w:p>
    <w:p>
      <w:r>
        <w:t xml:space="preserve">U izvještajnom razdoblju ostvareni su rashodi u ukupnom iznosu 227.504,90 eura, a odnose se na plaće, materijalne rashode i ostale rashode za zaposlene za 28 zaposlenica u okviru projekta. Također, obuhvaćaju i rashode za nabavu sredstava i materijala za čišćenje i održavanje za korisnike projekta.</w:t>
      </w:r>
    </w:p>
    <w:p>
      <w:r>
        <w:t xml:space="preserve">Obračunati prihodi poslovanja na kraju izvještajnog razdoblja iznose 377.360,88 eura.</w:t>
      </w:r>
    </w:p>
    <w:p>
      <w:r>
        <w:t xml:space="preserve">Potraživanja za tekuće pomoći iz državnog proračuna temeljem prijenosa EU sredstava na kraju izvještajnog razdoblja iznose 130.104,00 eura.</w:t>
      </w:r>
    </w:p>
    <w:p>
      <w:r>
        <w:t xml:space="preserve">Potraživanja po ugovorima o dodijeljenim bespovratnim sredstvima iz EU fondova na kraju izvještajnog razdoblja iznose 140.954,42 eura.</w:t>
      </w:r>
    </w:p>
    <w:p>
      <w:r>
        <w:t xml:space="preserve"> </w:t>
      </w:r>
    </w:p>
    <w:p>
      <w:pPr>
        <w:pStyle w:val="ListParagraph"/>
        <w:numPr>
          <w:ilvl w:val="0"/>
          <w:numId w:val="3"/>
        </w:numPr>
      </w:pPr>
      <w:r>
        <w:t xml:space="preserve">Izgradnja dječjeg vrtića u Ilači čija je provedba započela krajem 2024. godine. Projekt se financira 60% iz Mehanizma za oporavak i otpornost i 40% iz vlastitih sredstava.</w:t>
      </w:r>
    </w:p>
    <w:p>
      <w:r>
        <w:t xml:space="preserve">U izvještajnom razdoblju, o okviru projekta Izgradnja dječjeg vrtića u Ilači ostvareni su prihodi u ukupnom iznosu 82.082,36 eura temeljem ZNS-a 7 i 8.</w:t>
      </w:r>
    </w:p>
    <w:p>
      <w:r>
        <w:t xml:space="preserve">U izvještajnom razdoblju ostvareni su rashodi u ukupnom iznosu 86.241,34 eura, a odnose se na XV., XVI. I XVII. privremenu situaciju za izgradnju dječjeg vrtića te na usluge koordinacije zaštite na radu i stručnog nadzora nad izgradnjom.</w:t>
      </w:r>
    </w:p>
    <w:p>
      <w:r>
        <w:t xml:space="preserve">Obračunati prihodi poslovanja na kraju izvještajnog razdoblja iznose 164.823,70 eura.</w:t>
      </w:r>
    </w:p>
    <w:p>
      <w:r>
        <w:t xml:space="preserve">Potraživanja za kapitalne pomoći iz državnog proračuna temeljem prijenosa EU sredstava na kraju izvještajnog razdoblja iznose 82.741,34 eura.</w:t>
      </w:r>
    </w:p>
    <w:p>
      <w:r>
        <w:t xml:space="preserve">Obveze za EU predujmove dane od institucija i tijela EU na kraju izvještajnog razdoblja iznose 29.064,80 eura.</w:t>
      </w:r>
    </w:p>
    <w:p>
      <w:r>
        <w:t xml:space="preserve">Potraživanja po ugovorima o dodijeljenim bespovratnim sredstvima iz EU fondova na kraju izvještajnog razdoblja iznose 27.032,55 eura.</w:t>
      </w:r>
    </w:p>
    <w:p>
      <w:r>
        <w:t xml:space="preserve"> </w:t>
      </w:r>
    </w:p>
    <w:p>
      <w:pPr>
        <w:pStyle w:val="ListParagraph"/>
        <w:numPr>
          <w:ilvl w:val="0"/>
          <w:numId w:val="4"/>
        </w:numPr>
      </w:pPr>
      <w:r>
        <w:t xml:space="preserve">Energetska obnova zgrade Općine Tovarnik čija je provedba započela krajem 2025. godine. Projekt se financira 50% iz Mehanizma za oporavak i otpornost i 50% iz vlastitih sredstava.</w:t>
      </w:r>
    </w:p>
    <w:p>
      <w:r>
        <w:t xml:space="preserve">U izvještajnom razdoblju, o okviru projekta Energetska obnova zgrade Općine Tovarnik nisu ostvareni prihodi.</w:t>
      </w:r>
    </w:p>
    <w:p>
      <w:r>
        <w:t xml:space="preserve">U izvještajnom razdoblju ostvareni su rashodi u ukupnom iznosu 34.883,75 eura, a odnose se na I. i II. privremenu situaciju za radove, na usluge koordinacije zaštite na radu i stručnog nadzora tijekom energetske obnove, usluge provedbe projekta i ostale usluge.</w:t>
      </w:r>
    </w:p>
    <w:p>
      <w:r>
        <w:t xml:space="preserve">Obračunati prihodi poslovanja na kraju izvještajnog razdoblja iznose 22.596,25 eura.</w:t>
      </w:r>
    </w:p>
    <w:p>
      <w:r>
        <w:t xml:space="preserve">Potraživanja za kapitalne pomoći iz državnog proračuna temeljem prijenosa EU sredstava na kraju izvještajnog razdoblja iznose 22.596,25 eura.</w:t>
      </w:r>
    </w:p>
    <w:p>
      <w:r>
        <w:t xml:space="preserve">Obveze za EU predujmove dane od institucija i tijela EU na kraju izvještajnog razdoblja iznose 11.622,48 eura.</w:t>
      </w:r>
    </w:p>
    <w:p>
      <w:r>
        <w:t xml:space="preserve">Potraživanja po ugovorima o dodijeljenim bespovratnim sredstvima iz EU fondova na kraju izvještajnog razdoblja iznose 35.516,17 eura.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1fe80d102143c9" /><Relationship Type="http://schemas.openxmlformats.org/officeDocument/2006/relationships/numbering" Target="/word/numbering.xml" Id="Rc4d3a2bf6f964958" /></Relationships>
</file>