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aadba65b74ab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37121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TOVARNIK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884.593,31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654.316,51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539.021,09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419.633,75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345.572,22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234.682,76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131.592,21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148.324,14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130.812,21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148.324,14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214.760,01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86.358,62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40,2</w:t>
            </w:r>
          </w:p>
        </w:tc>
      </w:tr>
    </w:tbl>
    <w:p>
      <w:pPr>
        <w:spacing w:before="0" w:after="0"/>
      </w:pPr>
    </w:p>
    <w:p>
      <w:r>
        <w:t xml:space="preserve">U tekućem izvještajnom razdoblju Općina Tovarnik ostvarila je sljedeći rezultat poslovanja:</w:t>
      </w:r>
    </w:p>
    <w:p>
      <w:r>
        <w:t xml:space="preserve">Ukupni prihodi poslovanja (šifra 6) iznose 654.316,51 eura, dok ukupni rashodi poslovanja (šifra 3) iznose 419.633,75 eura. Razlika ukupno ostvarenih prihoda i rashoda poslovanja čini višak prihoda poslovanja (šifra X001) u iznosu od 234.682,76 eura.</w:t>
      </w:r>
    </w:p>
    <w:p>
      <w:r>
        <w:t xml:space="preserve">Ukupni rashodi za nabavu nefinancijske (šifra 4) iznose 148.324,14 eura. Prihodi od prodaje nefinancijske imovine (šifra 7) nisu ostvareni te je nastao manjak prihoda od nefinancijske imovine (šifra Y002) u iznosu od 148.324,14 eura.</w:t>
      </w:r>
    </w:p>
    <w:p>
      <w:r>
        <w:t xml:space="preserve">Razlikom ukupnih prihoda (šifra X067) i ukupnih rashoda (šifra Y034) ostvaren je ukupan višak prihoda (šifra X004) u iznosu od 86.358,62 eura.</w:t>
      </w:r>
    </w:p>
    <w:p>
      <w:r>
        <w:t xml:space="preserve">Ukupni rashodi i izdaci (šifra Y345) iznose 567.957,89 eura.</w:t>
      </w:r>
    </w:p>
    <w:p>
      <w:r>
        <w:t xml:space="preserve">Preneseni manjak prihoda i primitaka iznosi 439.425,93 eura. S obzirom da višak prihoda nije dovoljan da pokrije manjak prihoda i primitaka, ostvaren je negativan rezultat poslovanja, odnosno ostvaren je manjak prihoda i primitaka za pokriće u sljedećem razdoblju (šifra Y006) u iznosu od 353.067,31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884.593,31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654.316,51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74,0</w:t>
            </w:r>
          </w:p>
        </w:tc>
      </w:tr>
    </w:tbl>
    <w:p>
      <w:pPr>
        <w:spacing w:before="0" w:after="0"/>
      </w:pPr>
    </w:p>
    <w:p>
      <w:r>
        <w:t xml:space="preserve">Ukupni prihodi poslovanja Općine Tovarnik na dan 31.3.2026. iznose 654.316,51 eura, što predstavlja smanjenje od 36%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503.910,32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346.293,27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68,7</w:t>
            </w:r>
          </w:p>
        </w:tc>
      </w:tr>
    </w:tbl>
    <w:p>
      <w:pPr>
        <w:spacing w:before="0" w:after="0"/>
      </w:pPr>
    </w:p>
    <w:p>
      <w:r>
        <w:t xml:space="preserve">Najveći udio u ukupnim prihodima zauzimaju pomoći iz inozemstva i od subjekata unutar općeg proračuna. Ovi prihodi obuhvaćaju: pomoći proračunu iz drugih proračuna, pomoći fiskalnog izravnanja i pomoći temeljem prijenosa EU sredstava. U odnosu na prethodno razdoblje smanjeni su za oko 30%, a smanjenje je najvećim dijelom rezultat uplate sredstava kapitalnih pomoći za izgradnju dječjeg vrtića u Ilači početkom 2025. godine, dok su u 2026. godini ova sredstva uplaćena u znatno manjem iznosu iako je provedba projekta još u tijeku. Također, početkom 2025. godine su uplaćena sredstva pomoći temeljem prijenosa EU sredstava za projekt sanacije divljeg odlagališta, čija provedba je završena u 2025. godini.</w:t>
      </w:r>
    </w:p>
    <w:p>
      <w:r>
        <w:t xml:space="preserve">Prihodi od poreza na imovinu su također smanjeni i to za oko 50%, a odnose se na porez na promet nekretnina.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nefinancijske imovine (šifre 6421 do 6429)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100.540,80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79.516,22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79,1</w:t>
            </w:r>
          </w:p>
        </w:tc>
      </w:tr>
    </w:tbl>
    <w:p>
      <w:pPr>
        <w:spacing w:before="0" w:after="0"/>
      </w:pPr>
    </w:p>
    <w:p>
      <w:r>
        <w:t xml:space="preserve">Značajno smanjenje u odnosu na izvještajno razdoblje prethodne godine evidentirano je na prihodima od nefinancijske imovine, a odnosi se na naknade za korištenje naftne luke, naftovoda i eksploataciju mineralnih sirovina, spomeničku rentu i naknade za korištenje općinskih površina.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101.271,16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20.139,94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19,9</w:t>
            </w:r>
          </w:p>
        </w:tc>
      </w:tr>
    </w:tbl>
    <w:p>
      <w:pPr>
        <w:spacing w:before="0" w:after="0"/>
      </w:pPr>
    </w:p>
    <w:p>
      <w:r>
        <w:t xml:space="preserve">Značajno smanjenje u odnosu na izvještajno razdoblje prethodne godine evidentirano je na prihodima od upravnih i administrativnih pristojbi, pristojbi po posebnim propisima i naknada, a rezultat je najvećim dijelom uplate doprinosa za šume početkom 2025. godine, dok su u 2026. godini takve uplate izostale.</w:t>
      </w:r>
    </w:p>
    <w:p>
      <w:r>
        <w:t xml:space="preserve">Značajno povećanje u odnosu na prethodno razdoblje evidentirano je na prihodima od komunalne naknade, a rezultat je naplate komunalne naknade iz 2025. godine, kao i prethodnih godina s obzirom da su krajem 2025. godine poslane opomene za dospjela nepodmirena potraživanja po ovoj osnovi.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539.021,09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419.633,75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77,9</w:t>
            </w:r>
          </w:p>
        </w:tc>
      </w:tr>
    </w:tbl>
    <w:p>
      <w:pPr>
        <w:spacing w:before="0" w:after="0"/>
      </w:pPr>
    </w:p>
    <w:p>
      <w:r>
        <w:t xml:space="preserve">Ukupni rashodi poslovanja Općine Tovarnik na dan 31.3.2026. iznose 419.633,75 eura, što predstavlja smanjenje od 22,1%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197.673,50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208.903,69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</w:tbl>
    <w:p>
      <w:pPr>
        <w:spacing w:before="0" w:after="0"/>
      </w:pPr>
    </w:p>
    <w:p>
      <w:r>
        <w:t xml:space="preserve">Značajno povećanje u odnosu na prethodno razdoblje evidentirano je na rashodima za zaposlene, a rezultat je kontinuiranog rasta plaća te povećanja broja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199.164,49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116.902,66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58,7</w:t>
            </w:r>
          </w:p>
        </w:tc>
      </w:tr>
    </w:tbl>
    <w:p>
      <w:pPr>
        <w:spacing w:before="0" w:after="0"/>
      </w:pPr>
    </w:p>
    <w:p>
      <w:r>
        <w:t xml:space="preserve">Materijalni rashodi obuhvaćaju: naknade troškova zaposlenima, rashode za materijal i energiju, rashode za usluge i ostale nespomenute rashode poslovanja. U odnosu na prethodno razdoblje značajno su smanjeni rashodi za usluge i to za oko 60%, a prvenstveno se odnose na usluge tekućeg i investicijskog održavanja te intelektualne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62.295,17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40.940,32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65,7</w:t>
            </w:r>
          </w:p>
        </w:tc>
      </w:tr>
    </w:tbl>
    <w:p>
      <w:pPr>
        <w:spacing w:before="0" w:after="0"/>
      </w:pPr>
    </w:p>
    <w:p>
      <w:r>
        <w:t xml:space="preserve">Pomoći dane unutar općeg proračuna su u odnosu na prethodno razdoblje smanjene za 28,5%, a odnose se na pomoći proračunskim korisnicima Razvojnoj agenciji TINTL i Dječjem vrtić Palčić. Do smanjenja je došlo zbog načina poslovanja putem sustava riznice te izostanka uplate sredstava za redovan rad od strane Općine Tovarnik.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62.364,72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43.025,99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69,0</w:t>
            </w:r>
          </w:p>
        </w:tc>
      </w:tr>
    </w:tbl>
    <w:p>
      <w:pPr>
        <w:spacing w:before="0" w:after="0"/>
      </w:pPr>
    </w:p>
    <w:p>
      <w:r>
        <w:t xml:space="preserve">Ostale naknade građanima i kućanstvima iz proračuna su smanjene za oko 30% u odnosu na izvještajno razdoblje prethodne godine, a smanjenje je rezultat manjeg broja zahtjeva za isplatu pomoći građanima i kućanstvima iz proračuna Općine Tovarnik.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14.159,08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7.200,60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50,9</w:t>
            </w:r>
          </w:p>
        </w:tc>
      </w:tr>
    </w:tbl>
    <w:p>
      <w:pPr>
        <w:spacing w:before="0" w:after="0"/>
      </w:pPr>
    </w:p>
    <w:p>
      <w:r>
        <w:t xml:space="preserve">Tekuće donacije u novcu su smanjene za oko 50% u odnosu na izvještajno razdoblje prethodne godine, a smanjenje je rezultat manjeg broja zahtjeva za isplatu tekućih donacija iz proračuna Općine Tovarnik.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95.931,04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148.324,14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154,6</w:t>
            </w:r>
          </w:p>
        </w:tc>
      </w:tr>
    </w:tbl>
    <w:p>
      <w:pPr>
        <w:spacing w:before="0" w:after="0"/>
      </w:pPr>
    </w:p>
    <w:p>
      <w:r>
        <w:t xml:space="preserve">Rashodi za nabavu proizvedene dugotrajne imovine značajno su povećani u odnosu na izvještajno razdoblje prethodne godine, a rezultat su intenziviranja investicijskih projekata te većih rashoda za kapitalna ulaganja na građevinskim objektima.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241.779,82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kraju izvještajnog razdoblja iznose 241.779,82 eura, a odnose se na obveze za rashode poslovanja u iznosu od 116.950,80 eura, obveze za nabavu nefinancijske imovine u iznosu od 62.949,72 eura i obveze za predujmove, depozite, jamčevne pologe i tuđe prihode u iznosu od 61.879,30 eura.</w:t>
      </w:r>
    </w:p>
    <w:p>
      <w:r>
        <w:t xml:space="preserve">Struktura obveza i planirani prihodi nisu bili optimalno usklađeni što je rezultiralo privremenim prekoračenjem rokova plaćanja, iako su u planu podmirenja svih obveza u što skorijem razdoblju. Također, tijekom izvještajnog razdoblja zabilježeno je povećanje troškova što nije u potpunosti bilo predviđeno financijskim planom, zbog čega je došlo do pritiska na likvidna sredstva.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sadrži podatke o projektu Zaželi - Brinemo o vama! čija je provedba započela u travnju 2024. godine. Projekt se financira 85% iz Europskog socijalnog fonda plus i 15% iz nacionalnih sredstava.</w:t>
      </w:r>
    </w:p>
    <w:p>
      <w:r>
        <w:t xml:space="preserve">U izvještajnom razdoblju, o okviru projekta Zaželi ostvareni su prihodi u ukupnom iznosu 120.390,66 eura temeljem ZNS-a 7.</w:t>
      </w:r>
    </w:p>
    <w:p>
      <w:r>
        <w:t xml:space="preserve">U izvještajnom razdoblju ostvareni su rashodi u ukupnom iznosu 115.416,86 eura, a odnose se na plaće, materijalne rashode i ostale rashode za zaposlene za 28 zaposlenica u okviru projekta. Također, obuhvaćaju i rashode za nabavu sredstava i materijala za čišćenje i održavanje za korisnike projekta.</w:t>
      </w:r>
    </w:p>
    <w:p>
      <w:r>
        <w:t xml:space="preserve">Obračunati prihodi poslovanja na kraju izvještajnog razdoblja iznose 247.256,88 eura.</w:t>
      </w:r>
    </w:p>
    <w:p>
      <w:r>
        <w:t xml:space="preserve">Potraživanja za tekuće pomoći iz državnog proračuna temeljem prijenosa EU sredstava na kraju izvještajnog razdoblja iznose 126.866,22 eura.</w:t>
      </w:r>
    </w:p>
    <w:p>
      <w:r>
        <w:t xml:space="preserve">Potraživanja po ugovorima o dodijeljenim bespovratnim sredstvima iz EU fondova na kraju izvještajnog razdoblja iznose 271.058,42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c5d602e33f461e" /></Relationships>
</file>