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5CC03" w14:textId="77777777" w:rsidR="009E376D" w:rsidRDefault="009E376D" w:rsidP="009E376D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5AB83444" wp14:editId="67B9F6DB">
            <wp:simplePos x="0" y="0"/>
            <wp:positionH relativeFrom="page">
              <wp:posOffset>1470660</wp:posOffset>
            </wp:positionH>
            <wp:positionV relativeFrom="page">
              <wp:posOffset>877570</wp:posOffset>
            </wp:positionV>
            <wp:extent cx="502920" cy="64960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26" cy="65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D08A33" w14:textId="77777777" w:rsidR="009E376D" w:rsidRDefault="009E376D" w:rsidP="009E376D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4B528AB6" w14:textId="77777777" w:rsidR="009E376D" w:rsidRDefault="009E376D" w:rsidP="009E376D">
      <w:pPr>
        <w:ind w:firstLine="708"/>
        <w:jc w:val="both"/>
        <w:rPr>
          <w:rFonts w:ascii="Book Antiqua" w:eastAsia="Times New Roman" w:hAnsi="Book Antiqua" w:cs="Times New Roman"/>
          <w:sz w:val="22"/>
          <w:szCs w:val="22"/>
          <w:lang w:eastAsia="hr-HR"/>
        </w:rPr>
      </w:pPr>
    </w:p>
    <w:p w14:paraId="38A04D32" w14:textId="77777777" w:rsidR="009E376D" w:rsidRPr="00A52E11" w:rsidRDefault="009E376D" w:rsidP="009E376D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 </w:t>
      </w:r>
    </w:p>
    <w:p w14:paraId="78BE5246" w14:textId="77777777" w:rsidR="009E376D" w:rsidRPr="00A52E11" w:rsidRDefault="009E376D" w:rsidP="009E376D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REPUBLIKA HRVATSKA</w:t>
      </w:r>
    </w:p>
    <w:p w14:paraId="386742D6" w14:textId="77777777" w:rsidR="009E376D" w:rsidRPr="00A52E11" w:rsidRDefault="009E376D" w:rsidP="009E376D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>VUKOVARSKO-SRIJEMSKA ŽUPANIJA</w:t>
      </w:r>
    </w:p>
    <w:p w14:paraId="6C7BEBDF" w14:textId="77777777" w:rsidR="009E376D" w:rsidRDefault="009E376D" w:rsidP="009E376D">
      <w:pPr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64402DD0" wp14:editId="0D2A60E1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E11">
        <w:rPr>
          <w:rFonts w:ascii="Times New Roman" w:hAnsi="Times New Roman"/>
          <w:b/>
          <w:szCs w:val="24"/>
        </w:rPr>
        <w:t xml:space="preserve"> </w:t>
      </w:r>
    </w:p>
    <w:p w14:paraId="6914CBEF" w14:textId="77777777" w:rsidR="009E376D" w:rsidRPr="00A52E11" w:rsidRDefault="009E376D" w:rsidP="009E376D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</w:t>
      </w:r>
      <w:r w:rsidRPr="00A52E11">
        <w:rPr>
          <w:rFonts w:ascii="Times New Roman" w:hAnsi="Times New Roman"/>
          <w:b/>
          <w:szCs w:val="24"/>
        </w:rPr>
        <w:t>OPĆINA TOVARNIK</w:t>
      </w:r>
    </w:p>
    <w:p w14:paraId="5DE08ED3" w14:textId="77777777" w:rsidR="009E376D" w:rsidRDefault="009E376D" w:rsidP="009E376D">
      <w:pPr>
        <w:rPr>
          <w:rFonts w:ascii="Times New Roman" w:hAnsi="Times New Roman"/>
          <w:b/>
          <w:szCs w:val="24"/>
        </w:rPr>
      </w:pPr>
    </w:p>
    <w:p w14:paraId="0AD4304A" w14:textId="77777777" w:rsidR="009E376D" w:rsidRDefault="009E376D" w:rsidP="009E376D">
      <w:pPr>
        <w:rPr>
          <w:rFonts w:ascii="Times New Roman" w:hAnsi="Times New Roman"/>
          <w:b/>
          <w:szCs w:val="24"/>
        </w:rPr>
      </w:pPr>
    </w:p>
    <w:p w14:paraId="094D2F1F" w14:textId="77777777" w:rsidR="009E376D" w:rsidRDefault="009E376D" w:rsidP="009E376D">
      <w:pPr>
        <w:rPr>
          <w:rFonts w:ascii="Times New Roman" w:hAnsi="Times New Roman"/>
          <w:b/>
          <w:szCs w:val="24"/>
        </w:rPr>
      </w:pPr>
    </w:p>
    <w:p w14:paraId="7115807D" w14:textId="77777777" w:rsidR="009E376D" w:rsidRPr="00A52E11" w:rsidRDefault="009E376D" w:rsidP="009E376D">
      <w:pPr>
        <w:jc w:val="left"/>
        <w:rPr>
          <w:rFonts w:ascii="Times New Roman" w:hAnsi="Times New Roman"/>
          <w:b/>
          <w:szCs w:val="24"/>
        </w:rPr>
      </w:pPr>
      <w:r w:rsidRPr="00A52E11">
        <w:rPr>
          <w:rFonts w:ascii="Times New Roman" w:hAnsi="Times New Roman"/>
          <w:b/>
          <w:szCs w:val="24"/>
        </w:rPr>
        <w:t xml:space="preserve"> OPĆINSKO VIJEĆE</w:t>
      </w:r>
    </w:p>
    <w:p w14:paraId="60EF3F82" w14:textId="77777777" w:rsidR="009E376D" w:rsidRPr="00A52E11" w:rsidRDefault="009E376D" w:rsidP="009E376D">
      <w:pPr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               </w:t>
      </w:r>
    </w:p>
    <w:p w14:paraId="5564410E" w14:textId="42D0CA7B" w:rsidR="009E376D" w:rsidRPr="004D58E9" w:rsidRDefault="009E376D" w:rsidP="009E376D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KLASA: 024-0</w:t>
      </w:r>
      <w:r w:rsidR="001F7EEC">
        <w:rPr>
          <w:rFonts w:ascii="Times New Roman" w:hAnsi="Times New Roman"/>
          <w:szCs w:val="24"/>
        </w:rPr>
        <w:t>3</w:t>
      </w:r>
      <w:r w:rsidRPr="004D58E9">
        <w:rPr>
          <w:rFonts w:ascii="Times New Roman" w:hAnsi="Times New Roman"/>
          <w:szCs w:val="24"/>
        </w:rPr>
        <w:t>/25-01/</w:t>
      </w:r>
      <w:r w:rsidR="001F7EEC">
        <w:rPr>
          <w:rFonts w:ascii="Times New Roman" w:hAnsi="Times New Roman"/>
          <w:szCs w:val="24"/>
        </w:rPr>
        <w:t>18</w:t>
      </w:r>
    </w:p>
    <w:p w14:paraId="0220A655" w14:textId="77777777" w:rsidR="009E376D" w:rsidRPr="00A52E11" w:rsidRDefault="009E376D" w:rsidP="009E376D">
      <w:pPr>
        <w:jc w:val="left"/>
        <w:rPr>
          <w:rFonts w:ascii="Times New Roman" w:hAnsi="Times New Roman"/>
          <w:szCs w:val="24"/>
        </w:rPr>
      </w:pPr>
      <w:r w:rsidRPr="004D58E9">
        <w:rPr>
          <w:rFonts w:ascii="Times New Roman" w:hAnsi="Times New Roman"/>
          <w:szCs w:val="24"/>
        </w:rPr>
        <w:t>URBROJ: 2196-28-</w:t>
      </w:r>
      <w:r>
        <w:rPr>
          <w:rFonts w:ascii="Times New Roman" w:hAnsi="Times New Roman"/>
          <w:szCs w:val="24"/>
        </w:rPr>
        <w:t>02-25-1</w:t>
      </w:r>
      <w:r w:rsidRPr="00A52E11">
        <w:rPr>
          <w:rFonts w:ascii="Times New Roman" w:hAnsi="Times New Roman"/>
          <w:szCs w:val="24"/>
        </w:rPr>
        <w:t xml:space="preserve">            </w:t>
      </w:r>
    </w:p>
    <w:p w14:paraId="3999C21A" w14:textId="77777777" w:rsidR="009E376D" w:rsidRPr="00A52E11" w:rsidRDefault="009E376D" w:rsidP="009E376D">
      <w:pPr>
        <w:jc w:val="left"/>
        <w:rPr>
          <w:rFonts w:ascii="Times New Roman" w:hAnsi="Times New Roman"/>
          <w:szCs w:val="24"/>
        </w:rPr>
      </w:pPr>
      <w:r w:rsidRPr="00A52E11">
        <w:rPr>
          <w:rFonts w:ascii="Times New Roman" w:hAnsi="Times New Roman"/>
          <w:szCs w:val="24"/>
        </w:rPr>
        <w:t xml:space="preserve">Tovarnik, </w:t>
      </w:r>
      <w:r>
        <w:rPr>
          <w:rFonts w:ascii="Times New Roman" w:hAnsi="Times New Roman"/>
          <w:szCs w:val="24"/>
        </w:rPr>
        <w:t xml:space="preserve">14. studenoga 2025. </w:t>
      </w:r>
    </w:p>
    <w:p w14:paraId="21E3A8F5" w14:textId="77777777" w:rsidR="006310DE" w:rsidRDefault="006310DE"/>
    <w:p w14:paraId="5266146B" w14:textId="77777777" w:rsidR="009E376D" w:rsidRPr="009E376D" w:rsidRDefault="009E376D" w:rsidP="009E376D"/>
    <w:p w14:paraId="093F82DD" w14:textId="67EB2EA0" w:rsidR="009E376D" w:rsidRPr="009E376D" w:rsidRDefault="009E376D" w:rsidP="009E376D">
      <w:pPr>
        <w:jc w:val="both"/>
        <w:rPr>
          <w:rFonts w:ascii="Book Antiqua" w:hAnsi="Book Antiqua" w:cs="Times New Roman"/>
          <w:sz w:val="22"/>
          <w:szCs w:val="22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Na temelju članka 4., članka 50. i članka 51. Zakona o proračunu („Narodne novine“ broj 144/21), članka 12. </w:t>
      </w:r>
      <w:r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i </w:t>
      </w: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 članka 234. Pravilnika o proračunskom računovodstvu i računskom planu </w:t>
      </w:r>
      <w:bookmarkStart w:id="0" w:name="_Hlk157670151"/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(„Narodne novine“ broj </w:t>
      </w:r>
      <w:bookmarkEnd w:id="0"/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158/23, 154/24) te članka 31.  Statuta Općine Tovarnik  </w:t>
      </w:r>
      <w:r w:rsidRPr="009E376D">
        <w:rPr>
          <w:rFonts w:ascii="Book Antiqua" w:hAnsi="Book Antiqua" w:cs="Times New Roman"/>
          <w:sz w:val="22"/>
          <w:szCs w:val="22"/>
        </w:rPr>
        <w:t xml:space="preserve">(„Službeni vjesnik“ Vukovarsko-srijemske broj 3/22, 9/25), </w:t>
      </w:r>
      <w:r w:rsidR="001F7EEC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na </w:t>
      </w: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 prijedlog općinskog načelnika  Općinsko vijeće Općine Tovarnik  na svojoj 6. sjednici održanoj dana 14. studenog 2025.  godine donosi</w:t>
      </w:r>
    </w:p>
    <w:p w14:paraId="648C1294" w14:textId="77777777" w:rsidR="009E376D" w:rsidRPr="009E376D" w:rsidRDefault="009E376D" w:rsidP="009E376D">
      <w:pPr>
        <w:widowControl w:val="0"/>
        <w:suppressAutoHyphens/>
        <w:autoSpaceDN w:val="0"/>
        <w:jc w:val="left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6CB19DBE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  <w:t>O D L U K U</w:t>
      </w:r>
    </w:p>
    <w:p w14:paraId="74FD6407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  <w:t>O UVOĐENJU SUSTAVA RIZNICE,</w:t>
      </w:r>
    </w:p>
    <w:p w14:paraId="37F350DC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  <w:t>USPOSTAVI OBJEDINJENE GLAVNE KNJIGE PRORAČUNA TE</w:t>
      </w:r>
    </w:p>
    <w:p w14:paraId="0C71EC8E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  <w:t xml:space="preserve">NAČINU UVOĐENJA JEDINSTVENOG RAČUNA PRORAČUNA OPĆINE TOVARNIK </w:t>
      </w:r>
    </w:p>
    <w:p w14:paraId="098CB4E4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Mangal"/>
          <w:b/>
          <w:kern w:val="3"/>
          <w:sz w:val="22"/>
          <w:szCs w:val="22"/>
          <w:lang w:eastAsia="zh-CN" w:bidi="hi-IN"/>
        </w:rPr>
      </w:pPr>
    </w:p>
    <w:p w14:paraId="1F6D199C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1.</w:t>
      </w:r>
    </w:p>
    <w:p w14:paraId="377C3909" w14:textId="77777777" w:rsidR="009E376D" w:rsidRPr="009E376D" w:rsidRDefault="009E376D" w:rsidP="009E376D">
      <w:pPr>
        <w:widowControl w:val="0"/>
        <w:suppressAutoHyphens/>
        <w:autoSpaceDN w:val="0"/>
        <w:jc w:val="both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33A4CD0F" w14:textId="77777777" w:rsidR="009E376D" w:rsidRPr="009E376D" w:rsidRDefault="009E376D" w:rsidP="009E376D">
      <w:pPr>
        <w:widowControl w:val="0"/>
        <w:suppressAutoHyphens/>
        <w:autoSpaceDN w:val="0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ab/>
      </w: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 xml:space="preserve">Općina Tovarnik pokreće postupke uvođenja jedinstvenog računa proračuna, uspostave Objedinjene glavne knjige proračuna te uvođenja općinske  Riznice kao cjelovitog sustava u kojem se, u skladu sa zakonom, ovom Odlukom i drugim propisima, obavljaju poslovi koji se odnose na pripremu, izvršavanje i konsolidaciju Proračuna Općine Tovarnik i financijskih planova proračunskih korisnika općinskog  proračuna, računovodstvo proračuna i proračunskih korisnika te upravljanje novčanim sredstvima. </w:t>
      </w:r>
    </w:p>
    <w:p w14:paraId="545B9A88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59442454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2.</w:t>
      </w:r>
    </w:p>
    <w:p w14:paraId="26328AF3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7C095D59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bookmarkStart w:id="1" w:name="_Hlk188958864"/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 xml:space="preserve">Proračunski korisnici Općine Tovarnik  su: </w:t>
      </w:r>
    </w:p>
    <w:p w14:paraId="0E4F0DB4" w14:textId="77777777" w:rsidR="009E376D" w:rsidRPr="009E376D" w:rsidRDefault="009E376D" w:rsidP="009E376D">
      <w:pPr>
        <w:widowControl w:val="0"/>
        <w:numPr>
          <w:ilvl w:val="0"/>
          <w:numId w:val="1"/>
        </w:numPr>
        <w:suppressAutoHyphens/>
        <w:autoSpaceDN w:val="0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>Dječji vrtić Palčić Tovarnik</w:t>
      </w:r>
    </w:p>
    <w:p w14:paraId="09CD7B4D" w14:textId="77777777" w:rsidR="009E376D" w:rsidRPr="009E376D" w:rsidRDefault="009E376D" w:rsidP="009E376D">
      <w:pPr>
        <w:widowControl w:val="0"/>
        <w:numPr>
          <w:ilvl w:val="0"/>
          <w:numId w:val="1"/>
        </w:numPr>
        <w:suppressAutoHyphens/>
        <w:autoSpaceDN w:val="0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 xml:space="preserve">Razvojna agencija TINTL </w:t>
      </w:r>
    </w:p>
    <w:bookmarkEnd w:id="1"/>
    <w:p w14:paraId="2AFFE256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359ABAE9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3.</w:t>
      </w:r>
    </w:p>
    <w:p w14:paraId="0C0142EE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27716679" w14:textId="77777777" w:rsidR="009E376D" w:rsidRPr="009E376D" w:rsidRDefault="009E376D" w:rsidP="009E376D">
      <w:pPr>
        <w:widowControl w:val="0"/>
        <w:suppressAutoHyphens/>
        <w:autoSpaceDN w:val="0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 </w:t>
      </w: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ab/>
        <w:t>Riznično poslovanje sastoji se od tri komponente, jedinstvenog računovodstveno-informacijskog sustava, jedinstvenog računa proračuna te Objedinjene glavne knjige proračuna.</w:t>
      </w:r>
    </w:p>
    <w:p w14:paraId="44750AC5" w14:textId="77777777" w:rsidR="009E376D" w:rsidRPr="009E376D" w:rsidRDefault="009E376D" w:rsidP="009E376D">
      <w:pPr>
        <w:widowControl w:val="0"/>
        <w:suppressAutoHyphens/>
        <w:autoSpaceDN w:val="0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592B0719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lastRenderedPageBreak/>
        <w:t xml:space="preserve">Jedinstveni računovodstveno-informacijski sustav je sustav međusobno povezanih računalnih programa (Riznica) koji prate ukupan proces upravljanja proračunom. Jedinstvenim informatičkim rješenjem i zajedničkom bazom podataka osigurava se objedinjavanje svih poslova i transakcija u informacijskom i upravljačkom smislu.         </w:t>
      </w:r>
    </w:p>
    <w:p w14:paraId="62BC3A9F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6A21DF38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Jedinstveni račun proračuna predstavlja poslovni račun koji se otvara i vodi u kreditnoj instituciji, a na kojem se ostvaruju svi priljevi i izvršavaju svi odljevi proračuna i proračunskih korisnika jedinice lokalne i područne (regionalne) samouprave.</w:t>
      </w:r>
    </w:p>
    <w:p w14:paraId="307D520B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52C13CA6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Proračuni koji posluju preko jedinstvenog računa proračuna imaju obvezu uspostaviti Objedinjenu glavnu knjigu proračuna koja se sastoji od:</w:t>
      </w:r>
    </w:p>
    <w:p w14:paraId="5A407F2D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− Glavne knjige proračuna</w:t>
      </w:r>
    </w:p>
    <w:p w14:paraId="775BB723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− Glavnih knjiga proračunskih korisnika iz nadležnosti proračuna.</w:t>
      </w:r>
    </w:p>
    <w:p w14:paraId="148DB919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1C029F78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Glavna knjiga proračuna u sastavu Objedinjene glavne knjige proračuna sadrži evidencije svih transakcija na imovini, obvezama, vlastitim izvorima, prihodima, rashodima, primicima i izdacima proračuna, evidentiranih po modificiranom načelu nastanka događaja.</w:t>
      </w:r>
    </w:p>
    <w:p w14:paraId="2BAC7897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129B02F6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Glavna knjiga proračunskih korisnika u sastavu Objedinjene glavne knjige proračuna sadrži minimalno evidencije transakcija u vezi rashoda i obveza, izdataka i primitaka, potraživanja iz nadležnog proračuna za uplaćena sredstva na račun proračuna, vlastite i namjenske prihode uplaćene na jedinstveni račun proračuna te prihode proračunskih korisnika iz proračuna za financiranje redovne djelatnosti, evidentiranih po modificiranom načelu nastanka događaja.</w:t>
      </w:r>
    </w:p>
    <w:p w14:paraId="5FCD637E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656EC797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Neovisno o tome što se u sastavu Objedinjene glavne knjige proračuna vodi i Glavna knjiga proračunskog korisnika, proračunski korisnici imaju obvezu samostalno voditi cjelovitu Glavnu knjigu proračunskog korisnika koja sadrži evidencije svih  transakcija na imovini, obvezama, vlastitim izvorima, rashodima i izdacima, primicima i prihodima proračunskog korisnika po modificiranom načelu nastanka događaja.</w:t>
      </w:r>
    </w:p>
    <w:p w14:paraId="65EBDE7E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24C38488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Financijski izvještaji proračuna sastavljaju se na temelju podataka iz Glavne knjige proračuna.</w:t>
      </w:r>
    </w:p>
    <w:p w14:paraId="7BC01970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</w:p>
    <w:p w14:paraId="139CDB32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>Financijski izvještaji proračunskih korisnika sastavljaju se na temelju podataka iz Glavne knjige proračunskog korisnika koja se vodi kod proračunskog korisnika.</w:t>
      </w: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ab/>
        <w:t xml:space="preserve">                                                                </w:t>
      </w:r>
    </w:p>
    <w:p w14:paraId="79CFAD0F" w14:textId="77777777" w:rsidR="009E376D" w:rsidRDefault="009E376D" w:rsidP="009E376D">
      <w:pPr>
        <w:widowControl w:val="0"/>
        <w:suppressAutoHyphens/>
        <w:autoSpaceDN w:val="0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</w:p>
    <w:p w14:paraId="500ED3A5" w14:textId="712A2B65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4.</w:t>
      </w:r>
    </w:p>
    <w:p w14:paraId="63DA38C1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</w:p>
    <w:p w14:paraId="45C03FD2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  <w:t>Proračunski korisnici bit će integrirani u jedinstveni računovodstveno-informacijski sustav, Riznicu Općine Tovarnik. Riznica Općine Tovarnik  je sustav namijenjen za ukupan proces upravljanja proračunom: priprema proračuna, izvršenje i konsolidacija proračuna, vođenje Glavne knjige, Objedinjene glavne knjige i svih zakonom propisanih pomoćnih knjiga Općine Tovarnik  i njegovih proračunskih korisnika uz zadržavanje pravne osobnosti.</w:t>
      </w:r>
    </w:p>
    <w:p w14:paraId="7B5D30DB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</w:p>
    <w:p w14:paraId="41282C08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  <w:t>Cjelovitost sustava Riznice Općine Tovarnik  postiže se korištenjem jedinstvenog informatičkog rješenja i zajedničke baze podataka za sve korisnike Riznice.</w:t>
      </w:r>
    </w:p>
    <w:p w14:paraId="3D2E0D17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</w:p>
    <w:p w14:paraId="2AB9118F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  <w:t>Povezanost dislociranih proračunskih korisnika ostvaruje se primjenom koncepta spajanja na centralni sustav i interneta kao komunikacijskog medija.</w:t>
      </w:r>
    </w:p>
    <w:p w14:paraId="18E36B80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</w:p>
    <w:p w14:paraId="679FCB17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</w:p>
    <w:p w14:paraId="783F1708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5.</w:t>
      </w:r>
    </w:p>
    <w:p w14:paraId="27637A67" w14:textId="77777777" w:rsidR="009E376D" w:rsidRPr="009E376D" w:rsidRDefault="009E376D" w:rsidP="009E376D">
      <w:pPr>
        <w:widowControl w:val="0"/>
        <w:suppressAutoHyphens/>
        <w:autoSpaceDN w:val="0"/>
        <w:jc w:val="left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2E5B9BDC" w14:textId="77777777" w:rsidR="009E376D" w:rsidRPr="009E376D" w:rsidRDefault="009E376D" w:rsidP="009E376D">
      <w:pPr>
        <w:widowControl w:val="0"/>
        <w:suppressAutoHyphens/>
        <w:autoSpaceDN w:val="0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ab/>
      </w: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 xml:space="preserve">Uspostava sustava Riznice Općine Tovarnik  provodit će se u jednoj fazi, u skladu s interno  definiranom dinamikom. </w:t>
      </w:r>
    </w:p>
    <w:p w14:paraId="0B77039E" w14:textId="77777777" w:rsidR="009E376D" w:rsidRPr="009E376D" w:rsidRDefault="009E376D" w:rsidP="009E376D">
      <w:pPr>
        <w:widowControl w:val="0"/>
        <w:suppressAutoHyphens/>
        <w:autoSpaceDN w:val="0"/>
        <w:jc w:val="left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6FD27CD1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6.</w:t>
      </w:r>
    </w:p>
    <w:p w14:paraId="790B5582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42DC5888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 xml:space="preserve">Poslovanje u Riznici Općine Tovarnik  obavljat će se na način da se svi prihodi proračuna i proračunskih korisnika uplaćuju na jedinstveni račun proračuna i sva plaćanja izvršavaju s tog računa, a računi proračunskih korisnika se zatvaraju. </w:t>
      </w:r>
    </w:p>
    <w:p w14:paraId="1A3D406F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</w:p>
    <w:p w14:paraId="3ADDB2CC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>Jedinstveni račun proračuna postaje račun koji služi za primanje, čuvanje, plaćanje i prijenos svih prihoda, primitaka, rashoda, izdataka i drugih plaćanja proračuna i proračunskih korisnika.</w:t>
      </w:r>
    </w:p>
    <w:p w14:paraId="66211918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</w:p>
    <w:p w14:paraId="1ECC9785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  <w:t>Proračunski korisnici formirat će i slati zahtjeve za plaćanje s troškovima koji se financiraju iz svih izvora financiranja, a temelje se na vjerodostojnoj ispravi.</w:t>
      </w:r>
    </w:p>
    <w:p w14:paraId="29DD8F14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</w:p>
    <w:p w14:paraId="33C6A9DD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  <w:t>Općina Tovarnik će preuzeti verifikaciju zahtjeva i provoditi plaćanja iz svih izvora financiranja za proračunske korisnike.</w:t>
      </w:r>
    </w:p>
    <w:p w14:paraId="676F5495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</w:pPr>
    </w:p>
    <w:p w14:paraId="350CB50A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>Ukidanjem računa proračunskim korisnicima ne oduzima se autonomija čelnicima proračunskih korisnika.</w:t>
      </w:r>
      <w:r w:rsidRPr="009E376D">
        <w:rPr>
          <w:rFonts w:ascii="Book Antiqua" w:eastAsia="Arial Unicode MS" w:hAnsi="Book Antiqua" w:cs="Times New Roman"/>
          <w:kern w:val="3"/>
          <w:sz w:val="22"/>
          <w:szCs w:val="22"/>
          <w:lang w:eastAsia="zh-CN" w:bidi="hi-IN"/>
        </w:rPr>
        <w:t xml:space="preserve"> Čelnici proračunskih korisnika i dalje su odgovorni pred zakonom za poslovanje svoje institucije.</w:t>
      </w:r>
    </w:p>
    <w:p w14:paraId="438A2377" w14:textId="77777777" w:rsidR="009E376D" w:rsidRPr="009E376D" w:rsidRDefault="009E376D" w:rsidP="009E376D">
      <w:pPr>
        <w:widowControl w:val="0"/>
        <w:suppressAutoHyphens/>
        <w:autoSpaceDN w:val="0"/>
        <w:ind w:firstLine="708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</w:p>
    <w:p w14:paraId="257F561D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7.</w:t>
      </w:r>
    </w:p>
    <w:p w14:paraId="21174DC2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160EE04C" w14:textId="77777777" w:rsidR="009E376D" w:rsidRPr="009E376D" w:rsidRDefault="009E376D" w:rsidP="009E376D">
      <w:pPr>
        <w:widowControl w:val="0"/>
        <w:suppressAutoHyphens/>
        <w:autoSpaceDN w:val="0"/>
        <w:spacing w:after="240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ab/>
      </w:r>
      <w:bookmarkStart w:id="2" w:name="_Hlk201823056"/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>Proračunski korisnici iz članka 2. ove Odluke obvezni su zatvoriti žiro račune sa danom 31. 12. 2025. godine, a sredstva koja se nalaze na njihovim računima obvezni su uplatiti u proračun Općine Tovarnik. Svi proračunski korisnici Općine Tovarnik  od 1. 1. 2026. godine posluju preko jedinstvenog računa proračuna.</w:t>
      </w:r>
    </w:p>
    <w:bookmarkEnd w:id="2"/>
    <w:p w14:paraId="76D4AFCB" w14:textId="4CFEF010" w:rsidR="009E376D" w:rsidRPr="009E376D" w:rsidRDefault="009E376D" w:rsidP="009E376D">
      <w:pPr>
        <w:widowControl w:val="0"/>
        <w:suppressAutoHyphens/>
        <w:autoSpaceDN w:val="0"/>
        <w:spacing w:after="240"/>
        <w:ind w:firstLine="708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>Rok uvođenja potpunog sustava Riznice te uspostava Objedinjene glavne knjige proračuna je 1. 1. 2026. godine.</w:t>
      </w:r>
    </w:p>
    <w:p w14:paraId="58690098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8.</w:t>
      </w:r>
    </w:p>
    <w:p w14:paraId="4F48BF2E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34DB1A22" w14:textId="77777777" w:rsidR="009E376D" w:rsidRPr="009E376D" w:rsidRDefault="009E376D" w:rsidP="009E376D">
      <w:pPr>
        <w:widowControl w:val="0"/>
        <w:suppressAutoHyphens/>
        <w:autoSpaceDN w:val="0"/>
        <w:spacing w:after="240"/>
        <w:jc w:val="both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ab/>
      </w: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 xml:space="preserve">Način izvršavanja proračuna u okviru općinske  Riznice, a osobito način plaćanja, ovlaštenja i obveze proračunskih korisnika u postupku plaćanja te druga pitanja vezana za izvršenje proračuna pobliže se uređuju posebnim aktima općinskog načelnika. </w:t>
      </w:r>
    </w:p>
    <w:p w14:paraId="54865CB2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>Članak 9.</w:t>
      </w:r>
    </w:p>
    <w:p w14:paraId="419F0A68" w14:textId="77777777" w:rsidR="009E376D" w:rsidRPr="009E376D" w:rsidRDefault="009E376D" w:rsidP="009E376D">
      <w:pPr>
        <w:widowControl w:val="0"/>
        <w:suppressAutoHyphens/>
        <w:autoSpaceDN w:val="0"/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</w:pPr>
    </w:p>
    <w:p w14:paraId="0D5F0749" w14:textId="77777777" w:rsidR="009E376D" w:rsidRPr="009E376D" w:rsidRDefault="009E376D" w:rsidP="009E376D">
      <w:pPr>
        <w:widowControl w:val="0"/>
        <w:suppressAutoHyphens/>
        <w:autoSpaceDN w:val="0"/>
        <w:jc w:val="both"/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</w:pPr>
      <w:r w:rsidRPr="009E376D">
        <w:rPr>
          <w:rFonts w:ascii="Book Antiqua" w:eastAsia="Arial Unicode MS" w:hAnsi="Book Antiqua" w:cs="Arial"/>
          <w:b/>
          <w:bCs/>
          <w:kern w:val="3"/>
          <w:sz w:val="22"/>
          <w:szCs w:val="22"/>
          <w:lang w:eastAsia="zh-CN" w:bidi="hi-IN"/>
        </w:rPr>
        <w:tab/>
      </w: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 xml:space="preserve">Ova Odluka o </w:t>
      </w:r>
      <w:r w:rsidRPr="009E376D">
        <w:rPr>
          <w:rFonts w:ascii="Book Antiqua" w:eastAsia="Arial Unicode MS" w:hAnsi="Book Antiqua" w:cs="Mangal"/>
          <w:kern w:val="3"/>
          <w:sz w:val="22"/>
          <w:szCs w:val="22"/>
          <w:lang w:eastAsia="zh-CN" w:bidi="hi-IN"/>
        </w:rPr>
        <w:t xml:space="preserve">uvođenju sustava Riznice Općine Tovarnik, uspostavi Objedinjene glavne knjige proračuna te načinu uvođenja jedinstvenog računa proračuna Općine Tovarnik </w:t>
      </w:r>
      <w:r w:rsidRPr="009E376D">
        <w:rPr>
          <w:rFonts w:ascii="Book Antiqua" w:eastAsia="Arial Unicode MS" w:hAnsi="Book Antiqua" w:cs="Arial"/>
          <w:kern w:val="3"/>
          <w:sz w:val="22"/>
          <w:szCs w:val="22"/>
          <w:lang w:eastAsia="zh-CN" w:bidi="hi-IN"/>
        </w:rPr>
        <w:t xml:space="preserve"> stupa na snagu osmog dana od dana objave u „Službenom vjesniku“ Vukovarsko-srijemske županije. </w:t>
      </w:r>
    </w:p>
    <w:p w14:paraId="122A0901" w14:textId="6B4C8228" w:rsidR="009E376D" w:rsidRDefault="009E376D" w:rsidP="009E376D">
      <w:pPr>
        <w:spacing w:line="276" w:lineRule="auto"/>
        <w:jc w:val="right"/>
        <w:rPr>
          <w:rFonts w:ascii="Book Antiqua" w:hAnsi="Book Antiqua" w:cs="Times New Roman"/>
          <w:b/>
          <w:sz w:val="22"/>
          <w:szCs w:val="22"/>
        </w:rPr>
      </w:pPr>
      <w:r>
        <w:rPr>
          <w:rFonts w:ascii="Book Antiqua" w:hAnsi="Book Antiqua" w:cs="Times New Roman"/>
          <w:b/>
          <w:sz w:val="22"/>
          <w:szCs w:val="22"/>
        </w:rPr>
        <w:t>PREDSJEDNIK OPĆINSKOG VIJEĆA</w:t>
      </w:r>
    </w:p>
    <w:p w14:paraId="71A8255B" w14:textId="77777777" w:rsidR="009E376D" w:rsidRPr="000F61CF" w:rsidRDefault="009E376D" w:rsidP="009E376D">
      <w:pPr>
        <w:jc w:val="right"/>
        <w:rPr>
          <w:rFonts w:ascii="Book Antiqua" w:hAnsi="Book Antiqua"/>
          <w:sz w:val="22"/>
          <w:szCs w:val="22"/>
        </w:rPr>
      </w:pPr>
      <w:r w:rsidRPr="00BF2861">
        <w:rPr>
          <w:rFonts w:ascii="Book Antiqua" w:hAnsi="Book Antiqua" w:cs="Times New Roman"/>
          <w:bCs/>
          <w:sz w:val="22"/>
          <w:szCs w:val="22"/>
        </w:rPr>
        <w:t>Dubravko Blašković</w:t>
      </w:r>
    </w:p>
    <w:p w14:paraId="5C30E4E5" w14:textId="5AAE0486" w:rsidR="009E376D" w:rsidRPr="009E376D" w:rsidRDefault="009E376D" w:rsidP="009E376D">
      <w:pPr>
        <w:tabs>
          <w:tab w:val="left" w:pos="7404"/>
        </w:tabs>
        <w:jc w:val="left"/>
      </w:pPr>
    </w:p>
    <w:sectPr w:rsidR="009E376D" w:rsidRPr="009E37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578C2"/>
    <w:multiLevelType w:val="hybridMultilevel"/>
    <w:tmpl w:val="F1E6A8B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4694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6D"/>
    <w:rsid w:val="001F7EEC"/>
    <w:rsid w:val="006310DE"/>
    <w:rsid w:val="0078197F"/>
    <w:rsid w:val="007D2EA5"/>
    <w:rsid w:val="009E376D"/>
    <w:rsid w:val="00A450B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11B2"/>
  <w15:chartTrackingRefBased/>
  <w15:docId w15:val="{2DFC4DA2-9943-4C87-BDCB-E240F3D51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6D"/>
    <w:pPr>
      <w:spacing w:after="0" w:line="240" w:lineRule="auto"/>
      <w:jc w:val="center"/>
    </w:pPr>
    <w:rPr>
      <w:rFonts w:ascii="Bookman Old Style" w:hAnsi="Bookman Old Style"/>
      <w:kern w:val="0"/>
      <w:sz w:val="24"/>
      <w:szCs w:val="3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E3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E3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E37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3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37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37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37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37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37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37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37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37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37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37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37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37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37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37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37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3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3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376D"/>
    <w:pPr>
      <w:spacing w:before="160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37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37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37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37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37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37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1006</Words>
  <Characters>5738</Characters>
  <Application>Microsoft Office Word</Application>
  <DocSecurity>0</DocSecurity>
  <Lines>47</Lines>
  <Paragraphs>13</Paragraphs>
  <ScaleCrop>false</ScaleCrop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2025-11-24T11:23:00Z</dcterms:created>
  <dcterms:modified xsi:type="dcterms:W3CDTF">2025-11-24T12:14:00Z</dcterms:modified>
</cp:coreProperties>
</file>