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a0d546e2f4b56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37121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OPĆINA TOVARNIK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22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IX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1.668.368,64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2.185.450,98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131,0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1.557.401,38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1.853.754,71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119,0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PRIHODA POSLOVANJA (šifre 6-Z005)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110.967,26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331.696,27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298,9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10.513,34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287.918,90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580.410,54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201,6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287.918,90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569.897,20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197,9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PRIMITAKA OD FINANCIJSKE IMOVINE I ZADUŽIVANJA (šifre 8-5,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X003, 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176.951,64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238.200,93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134,6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izvještajnom razdoblju (01.01.2025. - 30.09.2025.) Općina Tovarnik ostvarila je sljedeći rezultat poslovanja: Ukupni prihodi poslovanja (šifra 6) iznose 2.185.450,98 eura, dok ukupni rashodi poslovanja (šifra 3) iznose 1.853.754,71 eura. Razlika ukupno ostvarenih prihoda i rashoda poslovanja čini višak prihoda poslovanja (šifra X001) u iznosu od 331.696,27 eura. Ukupni prihodi od prodaje nefinancijske imovine (šifra 7) iznose 10.513,34 eura, dok ukupni rashodi za nabavu nefinancijske (šifra 4) iznose 580.410,54 eura. Razlika ukupno ostvarenih prihoda i rashoda od prodaje odnosno nabave nefinancijske imovine čini manjak prihoda od nefinancijske imovine (šifra Y002) u iznosu od 569.897,20 eura. Razlikom viška prihoda poslovanja (šifra X001) i manjka prihoda od nefinancijske imovine (šifra Y002) ostvaren je manjak prihoda i primitaka (šifra Y005) u iznosu od 238.200,93 eura.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176.982,50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Dospjele obveze na kraju izvještajnog razdoblja iznose 176.982,50 eura, a odnose se na obveze za rashode poslovanja u iznosu od 83.594,24 eura, koji obuhvaćaju materijalne rashode u iznosu od 34.428,51 eura, obveze za subvencije u iznosu od 365,00 eura, obveze za donacije, kazne, naknade šteta i kapitalne pomoći u iznosu od 5.440,27 eura i ostale tekuće obveze u iznosu od 43.350,50 eura koje se odnose na polog jamstva na sto godina za reciklažno dvorište; obveze za nabavu nefinancijske imovine u iznosu od 91.618,35 eura te obveze za predujmove, depozite, jamčevne pologe i tuđe prihode u iznosu od 1.769,91 eura. Struktura obveza i planirani prihodi nisu bili optimalno usklađeni što je rezultiralo privremenim prekoračenjem rokova plaćanja, iako su u planu podmirenja svih dugova u što skorijem razdoblju. Također, tijekom izvještajnog razdoblja zabilježeno je povećanje troškova što nije u potpunosti bilo predviđeno financijskim planom, zbog čega je došlo do pritiska na likvidna sredstva.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733604435442f" /></Relationships>
</file>