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75DC5" w14:paraId="294F9B9F" w14:textId="77777777">
        <w:tblPrEx>
          <w:tblCellMar>
            <w:top w:w="0" w:type="dxa"/>
            <w:bottom w:w="0" w:type="dxa"/>
          </w:tblCellMar>
        </w:tblPrEx>
        <w:trPr>
          <w:tblCellSpacing w:w="60" w:type="dxa"/>
        </w:trPr>
        <w:tc>
          <w:tcPr>
            <w:tcW w:w="1200" w:type="pct"/>
            <w:shd w:val="clear" w:color="auto" w:fill="E7F0F9"/>
          </w:tcPr>
          <w:p w14:paraId="1428BE34" w14:textId="77777777" w:rsidR="00975DC5" w:rsidRDefault="00000000">
            <w:pPr>
              <w:spacing w:after="0" w:line="240" w:lineRule="auto"/>
            </w:pPr>
            <w:r>
              <w:rPr>
                <w:b/>
              </w:rPr>
              <w:t>RKP broj</w:t>
            </w:r>
          </w:p>
        </w:tc>
        <w:tc>
          <w:tcPr>
            <w:tcW w:w="0" w:type="auto"/>
            <w:shd w:val="clear" w:color="auto" w:fill="E7F0F9"/>
          </w:tcPr>
          <w:p w14:paraId="7A159705" w14:textId="77777777" w:rsidR="00975DC5" w:rsidRDefault="00000000">
            <w:pPr>
              <w:spacing w:after="0" w:line="240" w:lineRule="auto"/>
            </w:pPr>
            <w:r>
              <w:t>37121</w:t>
            </w:r>
          </w:p>
        </w:tc>
      </w:tr>
      <w:tr w:rsidR="00975DC5" w14:paraId="5F9F165C" w14:textId="77777777">
        <w:tblPrEx>
          <w:tblCellMar>
            <w:top w:w="0" w:type="dxa"/>
            <w:bottom w:w="0" w:type="dxa"/>
          </w:tblCellMar>
        </w:tblPrEx>
        <w:trPr>
          <w:tblCellSpacing w:w="60" w:type="dxa"/>
        </w:trPr>
        <w:tc>
          <w:tcPr>
            <w:tcW w:w="1200" w:type="pct"/>
            <w:shd w:val="clear" w:color="auto" w:fill="E7F0F9"/>
          </w:tcPr>
          <w:p w14:paraId="6E11DF87" w14:textId="77777777" w:rsidR="00975DC5" w:rsidRDefault="00000000">
            <w:pPr>
              <w:spacing w:after="0" w:line="240" w:lineRule="auto"/>
            </w:pPr>
            <w:r>
              <w:rPr>
                <w:b/>
              </w:rPr>
              <w:t>Naziv obveznika</w:t>
            </w:r>
          </w:p>
        </w:tc>
        <w:tc>
          <w:tcPr>
            <w:tcW w:w="0" w:type="auto"/>
            <w:shd w:val="clear" w:color="auto" w:fill="E7F0F9"/>
          </w:tcPr>
          <w:p w14:paraId="3EB923CC" w14:textId="77777777" w:rsidR="00975DC5" w:rsidRDefault="00000000">
            <w:pPr>
              <w:spacing w:after="0" w:line="240" w:lineRule="auto"/>
            </w:pPr>
            <w:r>
              <w:t>OPĆINA TOVARNIK</w:t>
            </w:r>
          </w:p>
        </w:tc>
      </w:tr>
      <w:tr w:rsidR="00975DC5" w14:paraId="0FCB205C" w14:textId="77777777">
        <w:tblPrEx>
          <w:tblCellMar>
            <w:top w:w="0" w:type="dxa"/>
            <w:bottom w:w="0" w:type="dxa"/>
          </w:tblCellMar>
        </w:tblPrEx>
        <w:trPr>
          <w:tblCellSpacing w:w="60" w:type="dxa"/>
        </w:trPr>
        <w:tc>
          <w:tcPr>
            <w:tcW w:w="1200" w:type="pct"/>
            <w:shd w:val="clear" w:color="auto" w:fill="E7F0F9"/>
          </w:tcPr>
          <w:p w14:paraId="7529ABAC" w14:textId="77777777" w:rsidR="00975DC5" w:rsidRDefault="00000000">
            <w:pPr>
              <w:spacing w:after="0" w:line="240" w:lineRule="auto"/>
            </w:pPr>
            <w:r>
              <w:rPr>
                <w:b/>
              </w:rPr>
              <w:t>Razina</w:t>
            </w:r>
          </w:p>
        </w:tc>
        <w:tc>
          <w:tcPr>
            <w:tcW w:w="0" w:type="auto"/>
            <w:shd w:val="clear" w:color="auto" w:fill="E7F0F9"/>
          </w:tcPr>
          <w:p w14:paraId="5AABE709" w14:textId="77777777" w:rsidR="00975DC5" w:rsidRDefault="00000000">
            <w:pPr>
              <w:spacing w:after="0" w:line="240" w:lineRule="auto"/>
            </w:pPr>
            <w:r>
              <w:t>22</w:t>
            </w:r>
          </w:p>
        </w:tc>
      </w:tr>
    </w:tbl>
    <w:p w14:paraId="7EA525F6" w14:textId="77777777" w:rsidR="00975DC5" w:rsidRDefault="00000000">
      <w:r>
        <w:br/>
      </w:r>
    </w:p>
    <w:p w14:paraId="20AE4595" w14:textId="77777777" w:rsidR="00975DC5" w:rsidRDefault="00000000">
      <w:pPr>
        <w:spacing w:line="240" w:lineRule="auto"/>
        <w:jc w:val="center"/>
      </w:pPr>
      <w:r>
        <w:rPr>
          <w:b/>
          <w:sz w:val="28"/>
        </w:rPr>
        <w:t>BILJEŠKE UZ FINANCIJSKE IZVJEŠTAJE</w:t>
      </w:r>
    </w:p>
    <w:p w14:paraId="58B0184E" w14:textId="77777777" w:rsidR="00975DC5" w:rsidRDefault="00000000">
      <w:pPr>
        <w:spacing w:line="240" w:lineRule="auto"/>
        <w:jc w:val="center"/>
      </w:pPr>
      <w:r>
        <w:rPr>
          <w:b/>
          <w:sz w:val="28"/>
        </w:rPr>
        <w:t>ZA RAZDOBLJE</w:t>
      </w:r>
    </w:p>
    <w:p w14:paraId="76A1447F" w14:textId="77777777" w:rsidR="00975DC5" w:rsidRDefault="00000000">
      <w:pPr>
        <w:spacing w:line="240" w:lineRule="auto"/>
        <w:jc w:val="center"/>
      </w:pPr>
      <w:r>
        <w:rPr>
          <w:b/>
          <w:sz w:val="28"/>
        </w:rPr>
        <w:t>I - XII 2025.</w:t>
      </w:r>
    </w:p>
    <w:p w14:paraId="23CDA603" w14:textId="77777777" w:rsidR="00975DC5" w:rsidRDefault="00975DC5"/>
    <w:p w14:paraId="23668DE5" w14:textId="77777777" w:rsidR="00975DC5" w:rsidRDefault="00000000">
      <w:pPr>
        <w:keepNext/>
        <w:spacing w:line="240" w:lineRule="auto"/>
        <w:jc w:val="center"/>
      </w:pPr>
      <w:r>
        <w:rPr>
          <w:b/>
          <w:sz w:val="28"/>
        </w:rPr>
        <w:t>Izvještaj o prihodima i rashodima, primicima i izdacima</w:t>
      </w:r>
    </w:p>
    <w:p w14:paraId="305E44A3" w14:textId="77777777" w:rsidR="00975DC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63E4D3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7BEEC4"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3AEF7"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DC2ACB"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62B1A0"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44EE9C"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82CC4E" w14:textId="77777777" w:rsidR="00975DC5" w:rsidRDefault="00000000">
            <w:pPr>
              <w:keepNext/>
              <w:keepLines/>
              <w:spacing w:after="0" w:line="240" w:lineRule="auto"/>
              <w:jc w:val="center"/>
            </w:pPr>
            <w:r>
              <w:rPr>
                <w:b/>
                <w:sz w:val="18"/>
              </w:rPr>
              <w:t>Indeks (%)</w:t>
            </w:r>
          </w:p>
        </w:tc>
      </w:tr>
      <w:tr w:rsidR="00975DC5" w14:paraId="7A8A6FF4" w14:textId="77777777">
        <w:tblPrEx>
          <w:tblCellMar>
            <w:top w:w="0" w:type="dxa"/>
            <w:bottom w:w="0" w:type="dxa"/>
          </w:tblCellMar>
        </w:tblPrEx>
        <w:trPr>
          <w:cantSplit/>
          <w:trHeight w:val="560"/>
        </w:trPr>
        <w:tc>
          <w:tcPr>
            <w:tcW w:w="700" w:type="dxa"/>
            <w:tcMar>
              <w:top w:w="0" w:type="dxa"/>
              <w:bottom w:w="0" w:type="dxa"/>
            </w:tcMar>
            <w:vAlign w:val="center"/>
          </w:tcPr>
          <w:p w14:paraId="5C900FFB" w14:textId="77777777" w:rsidR="00975DC5" w:rsidRDefault="00000000">
            <w:pPr>
              <w:keepNext/>
              <w:keepLines/>
              <w:spacing w:after="0" w:line="240" w:lineRule="auto"/>
            </w:pPr>
            <w:r>
              <w:rPr>
                <w:sz w:val="18"/>
              </w:rPr>
              <w:t>6</w:t>
            </w:r>
          </w:p>
        </w:tc>
        <w:tc>
          <w:tcPr>
            <w:tcW w:w="3180" w:type="dxa"/>
            <w:tcMar>
              <w:top w:w="0" w:type="dxa"/>
              <w:bottom w:w="0" w:type="dxa"/>
            </w:tcMar>
            <w:vAlign w:val="center"/>
          </w:tcPr>
          <w:p w14:paraId="1DC1F50A" w14:textId="77777777" w:rsidR="00975DC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4E246D7" w14:textId="77777777" w:rsidR="00975DC5" w:rsidRDefault="00000000">
            <w:pPr>
              <w:keepNext/>
              <w:keepLines/>
              <w:spacing w:after="0" w:line="240" w:lineRule="auto"/>
            </w:pPr>
            <w:r>
              <w:rPr>
                <w:sz w:val="18"/>
              </w:rPr>
              <w:t>6</w:t>
            </w:r>
          </w:p>
        </w:tc>
        <w:tc>
          <w:tcPr>
            <w:tcW w:w="1860" w:type="dxa"/>
            <w:tcMar>
              <w:top w:w="0" w:type="dxa"/>
              <w:bottom w:w="0" w:type="dxa"/>
            </w:tcMar>
            <w:vAlign w:val="center"/>
          </w:tcPr>
          <w:p w14:paraId="67C48783" w14:textId="77777777" w:rsidR="00975DC5" w:rsidRDefault="00000000">
            <w:pPr>
              <w:keepNext/>
              <w:keepLines/>
              <w:spacing w:after="0" w:line="240" w:lineRule="auto"/>
              <w:jc w:val="right"/>
            </w:pPr>
            <w:r>
              <w:rPr>
                <w:sz w:val="18"/>
              </w:rPr>
              <w:t>2.696.534,70</w:t>
            </w:r>
          </w:p>
        </w:tc>
        <w:tc>
          <w:tcPr>
            <w:tcW w:w="1860" w:type="dxa"/>
            <w:tcMar>
              <w:top w:w="0" w:type="dxa"/>
              <w:bottom w:w="0" w:type="dxa"/>
            </w:tcMar>
            <w:vAlign w:val="center"/>
          </w:tcPr>
          <w:p w14:paraId="798F8B85" w14:textId="77777777" w:rsidR="00975DC5" w:rsidRDefault="00000000">
            <w:pPr>
              <w:keepNext/>
              <w:keepLines/>
              <w:spacing w:after="0" w:line="240" w:lineRule="auto"/>
              <w:jc w:val="right"/>
            </w:pPr>
            <w:r>
              <w:rPr>
                <w:sz w:val="18"/>
              </w:rPr>
              <w:t>3.175.791,22</w:t>
            </w:r>
          </w:p>
        </w:tc>
        <w:tc>
          <w:tcPr>
            <w:tcW w:w="700" w:type="dxa"/>
            <w:tcMar>
              <w:top w:w="0" w:type="dxa"/>
              <w:bottom w:w="0" w:type="dxa"/>
            </w:tcMar>
            <w:vAlign w:val="center"/>
          </w:tcPr>
          <w:p w14:paraId="12E872D7" w14:textId="77777777" w:rsidR="00975DC5" w:rsidRDefault="00000000">
            <w:pPr>
              <w:keepNext/>
              <w:keepLines/>
              <w:spacing w:after="0" w:line="240" w:lineRule="auto"/>
              <w:jc w:val="right"/>
            </w:pPr>
            <w:r>
              <w:rPr>
                <w:sz w:val="18"/>
              </w:rPr>
              <w:t>117,8</w:t>
            </w:r>
          </w:p>
        </w:tc>
      </w:tr>
      <w:tr w:rsidR="00975DC5" w14:paraId="058C7874" w14:textId="77777777">
        <w:tblPrEx>
          <w:tblCellMar>
            <w:top w:w="0" w:type="dxa"/>
            <w:bottom w:w="0" w:type="dxa"/>
          </w:tblCellMar>
        </w:tblPrEx>
        <w:trPr>
          <w:cantSplit/>
          <w:trHeight w:val="560"/>
        </w:trPr>
        <w:tc>
          <w:tcPr>
            <w:tcW w:w="700" w:type="dxa"/>
            <w:tcMar>
              <w:top w:w="0" w:type="dxa"/>
              <w:bottom w:w="0" w:type="dxa"/>
            </w:tcMar>
            <w:vAlign w:val="center"/>
          </w:tcPr>
          <w:p w14:paraId="2BF5D948" w14:textId="77777777" w:rsidR="00975DC5" w:rsidRDefault="00000000">
            <w:pPr>
              <w:keepNext/>
              <w:keepLines/>
              <w:spacing w:after="0" w:line="240" w:lineRule="auto"/>
            </w:pPr>
            <w:r>
              <w:rPr>
                <w:sz w:val="18"/>
              </w:rPr>
              <w:t>3</w:t>
            </w:r>
          </w:p>
        </w:tc>
        <w:tc>
          <w:tcPr>
            <w:tcW w:w="3180" w:type="dxa"/>
            <w:tcMar>
              <w:top w:w="0" w:type="dxa"/>
              <w:bottom w:w="0" w:type="dxa"/>
            </w:tcMar>
            <w:vAlign w:val="center"/>
          </w:tcPr>
          <w:p w14:paraId="119D5987" w14:textId="77777777" w:rsidR="00975DC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C8056A0" w14:textId="77777777" w:rsidR="00975DC5" w:rsidRDefault="00000000">
            <w:pPr>
              <w:keepNext/>
              <w:keepLines/>
              <w:spacing w:after="0" w:line="240" w:lineRule="auto"/>
            </w:pPr>
            <w:r>
              <w:rPr>
                <w:sz w:val="18"/>
              </w:rPr>
              <w:t>3</w:t>
            </w:r>
          </w:p>
        </w:tc>
        <w:tc>
          <w:tcPr>
            <w:tcW w:w="1860" w:type="dxa"/>
            <w:tcMar>
              <w:top w:w="0" w:type="dxa"/>
              <w:bottom w:w="0" w:type="dxa"/>
            </w:tcMar>
            <w:vAlign w:val="center"/>
          </w:tcPr>
          <w:p w14:paraId="42881603" w14:textId="77777777" w:rsidR="00975DC5" w:rsidRDefault="00000000">
            <w:pPr>
              <w:keepNext/>
              <w:keepLines/>
              <w:spacing w:after="0" w:line="240" w:lineRule="auto"/>
              <w:jc w:val="right"/>
            </w:pPr>
            <w:r>
              <w:rPr>
                <w:sz w:val="18"/>
              </w:rPr>
              <w:t>2.437.146,20</w:t>
            </w:r>
          </w:p>
        </w:tc>
        <w:tc>
          <w:tcPr>
            <w:tcW w:w="1860" w:type="dxa"/>
            <w:tcMar>
              <w:top w:w="0" w:type="dxa"/>
              <w:bottom w:w="0" w:type="dxa"/>
            </w:tcMar>
            <w:vAlign w:val="center"/>
          </w:tcPr>
          <w:p w14:paraId="79C13B6A" w14:textId="77777777" w:rsidR="00975DC5" w:rsidRDefault="00000000">
            <w:pPr>
              <w:keepNext/>
              <w:keepLines/>
              <w:spacing w:after="0" w:line="240" w:lineRule="auto"/>
              <w:jc w:val="right"/>
            </w:pPr>
            <w:r>
              <w:rPr>
                <w:sz w:val="18"/>
              </w:rPr>
              <w:t>2.679.077,62</w:t>
            </w:r>
          </w:p>
        </w:tc>
        <w:tc>
          <w:tcPr>
            <w:tcW w:w="700" w:type="dxa"/>
            <w:tcMar>
              <w:top w:w="0" w:type="dxa"/>
              <w:bottom w:w="0" w:type="dxa"/>
            </w:tcMar>
            <w:vAlign w:val="center"/>
          </w:tcPr>
          <w:p w14:paraId="051158E8" w14:textId="77777777" w:rsidR="00975DC5" w:rsidRDefault="00000000">
            <w:pPr>
              <w:keepNext/>
              <w:keepLines/>
              <w:spacing w:after="0" w:line="240" w:lineRule="auto"/>
              <w:jc w:val="right"/>
            </w:pPr>
            <w:r>
              <w:rPr>
                <w:sz w:val="18"/>
              </w:rPr>
              <w:t>109,9</w:t>
            </w:r>
          </w:p>
        </w:tc>
      </w:tr>
      <w:tr w:rsidR="00975DC5" w14:paraId="601E6533" w14:textId="77777777">
        <w:tblPrEx>
          <w:tblCellMar>
            <w:top w:w="0" w:type="dxa"/>
            <w:bottom w:w="0" w:type="dxa"/>
          </w:tblCellMar>
        </w:tblPrEx>
        <w:trPr>
          <w:cantSplit/>
          <w:trHeight w:val="560"/>
        </w:trPr>
        <w:tc>
          <w:tcPr>
            <w:tcW w:w="700" w:type="dxa"/>
            <w:tcMar>
              <w:top w:w="0" w:type="dxa"/>
              <w:bottom w:w="0" w:type="dxa"/>
            </w:tcMar>
            <w:vAlign w:val="center"/>
          </w:tcPr>
          <w:p w14:paraId="78F5A825" w14:textId="77777777" w:rsidR="00975DC5" w:rsidRDefault="00975DC5">
            <w:pPr>
              <w:keepNext/>
              <w:keepLines/>
              <w:spacing w:after="0" w:line="240" w:lineRule="auto"/>
            </w:pPr>
          </w:p>
        </w:tc>
        <w:tc>
          <w:tcPr>
            <w:tcW w:w="3180" w:type="dxa"/>
            <w:tcMar>
              <w:top w:w="0" w:type="dxa"/>
              <w:bottom w:w="0" w:type="dxa"/>
            </w:tcMar>
            <w:vAlign w:val="center"/>
          </w:tcPr>
          <w:p w14:paraId="03408184" w14:textId="77777777" w:rsidR="00975DC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CB551FC" w14:textId="77777777" w:rsidR="00975DC5" w:rsidRDefault="00000000">
            <w:pPr>
              <w:keepNext/>
              <w:keepLines/>
              <w:spacing w:after="0" w:line="240" w:lineRule="auto"/>
            </w:pPr>
            <w:r>
              <w:rPr>
                <w:b/>
                <w:sz w:val="18"/>
              </w:rPr>
              <w:t>X001</w:t>
            </w:r>
          </w:p>
        </w:tc>
        <w:tc>
          <w:tcPr>
            <w:tcW w:w="1860" w:type="dxa"/>
            <w:tcMar>
              <w:top w:w="0" w:type="dxa"/>
              <w:bottom w:w="0" w:type="dxa"/>
            </w:tcMar>
            <w:vAlign w:val="center"/>
          </w:tcPr>
          <w:p w14:paraId="331710C2" w14:textId="77777777" w:rsidR="00975DC5" w:rsidRDefault="00000000">
            <w:pPr>
              <w:keepNext/>
              <w:keepLines/>
              <w:spacing w:after="0" w:line="240" w:lineRule="auto"/>
              <w:jc w:val="right"/>
            </w:pPr>
            <w:r>
              <w:rPr>
                <w:b/>
                <w:sz w:val="18"/>
              </w:rPr>
              <w:t>259.388,50</w:t>
            </w:r>
          </w:p>
        </w:tc>
        <w:tc>
          <w:tcPr>
            <w:tcW w:w="1860" w:type="dxa"/>
            <w:tcMar>
              <w:top w:w="0" w:type="dxa"/>
              <w:bottom w:w="0" w:type="dxa"/>
            </w:tcMar>
            <w:vAlign w:val="center"/>
          </w:tcPr>
          <w:p w14:paraId="16EAB5A6" w14:textId="77777777" w:rsidR="00975DC5" w:rsidRDefault="00000000">
            <w:pPr>
              <w:keepNext/>
              <w:keepLines/>
              <w:spacing w:after="0" w:line="240" w:lineRule="auto"/>
              <w:jc w:val="right"/>
            </w:pPr>
            <w:r>
              <w:rPr>
                <w:b/>
                <w:sz w:val="18"/>
              </w:rPr>
              <w:t>496.713,60</w:t>
            </w:r>
          </w:p>
        </w:tc>
        <w:tc>
          <w:tcPr>
            <w:tcW w:w="700" w:type="dxa"/>
            <w:tcMar>
              <w:top w:w="0" w:type="dxa"/>
              <w:bottom w:w="0" w:type="dxa"/>
            </w:tcMar>
            <w:vAlign w:val="center"/>
          </w:tcPr>
          <w:p w14:paraId="45476C9C" w14:textId="77777777" w:rsidR="00975DC5" w:rsidRDefault="00000000">
            <w:pPr>
              <w:keepNext/>
              <w:keepLines/>
              <w:spacing w:after="0" w:line="240" w:lineRule="auto"/>
              <w:jc w:val="right"/>
            </w:pPr>
            <w:r>
              <w:rPr>
                <w:b/>
                <w:sz w:val="18"/>
              </w:rPr>
              <w:t>191,5</w:t>
            </w:r>
          </w:p>
        </w:tc>
      </w:tr>
      <w:tr w:rsidR="00975DC5" w14:paraId="245D49EB" w14:textId="77777777">
        <w:tblPrEx>
          <w:tblCellMar>
            <w:top w:w="0" w:type="dxa"/>
            <w:bottom w:w="0" w:type="dxa"/>
          </w:tblCellMar>
        </w:tblPrEx>
        <w:trPr>
          <w:cantSplit/>
          <w:trHeight w:val="560"/>
        </w:trPr>
        <w:tc>
          <w:tcPr>
            <w:tcW w:w="700" w:type="dxa"/>
            <w:tcMar>
              <w:top w:w="0" w:type="dxa"/>
              <w:bottom w:w="0" w:type="dxa"/>
            </w:tcMar>
            <w:vAlign w:val="center"/>
          </w:tcPr>
          <w:p w14:paraId="091D4F24" w14:textId="77777777" w:rsidR="00975DC5" w:rsidRDefault="00000000">
            <w:pPr>
              <w:keepNext/>
              <w:keepLines/>
              <w:spacing w:after="0" w:line="240" w:lineRule="auto"/>
            </w:pPr>
            <w:r>
              <w:rPr>
                <w:sz w:val="18"/>
              </w:rPr>
              <w:t>7</w:t>
            </w:r>
          </w:p>
        </w:tc>
        <w:tc>
          <w:tcPr>
            <w:tcW w:w="3180" w:type="dxa"/>
            <w:tcMar>
              <w:top w:w="0" w:type="dxa"/>
              <w:bottom w:w="0" w:type="dxa"/>
            </w:tcMar>
            <w:vAlign w:val="center"/>
          </w:tcPr>
          <w:p w14:paraId="4471C3FC" w14:textId="77777777" w:rsidR="00975DC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B788551" w14:textId="77777777" w:rsidR="00975DC5" w:rsidRDefault="00000000">
            <w:pPr>
              <w:keepNext/>
              <w:keepLines/>
              <w:spacing w:after="0" w:line="240" w:lineRule="auto"/>
            </w:pPr>
            <w:r>
              <w:rPr>
                <w:sz w:val="18"/>
              </w:rPr>
              <w:t>7</w:t>
            </w:r>
          </w:p>
        </w:tc>
        <w:tc>
          <w:tcPr>
            <w:tcW w:w="1860" w:type="dxa"/>
            <w:tcMar>
              <w:top w:w="0" w:type="dxa"/>
              <w:bottom w:w="0" w:type="dxa"/>
            </w:tcMar>
            <w:vAlign w:val="center"/>
          </w:tcPr>
          <w:p w14:paraId="399F6E69" w14:textId="77777777" w:rsidR="00975DC5" w:rsidRDefault="00000000">
            <w:pPr>
              <w:keepNext/>
              <w:keepLines/>
              <w:spacing w:after="0" w:line="240" w:lineRule="auto"/>
              <w:jc w:val="right"/>
            </w:pPr>
            <w:r>
              <w:rPr>
                <w:sz w:val="18"/>
              </w:rPr>
              <w:t>0,00</w:t>
            </w:r>
          </w:p>
        </w:tc>
        <w:tc>
          <w:tcPr>
            <w:tcW w:w="1860" w:type="dxa"/>
            <w:tcMar>
              <w:top w:w="0" w:type="dxa"/>
              <w:bottom w:w="0" w:type="dxa"/>
            </w:tcMar>
            <w:vAlign w:val="center"/>
          </w:tcPr>
          <w:p w14:paraId="345B80E5" w14:textId="77777777" w:rsidR="00975DC5" w:rsidRDefault="00000000">
            <w:pPr>
              <w:keepNext/>
              <w:keepLines/>
              <w:spacing w:after="0" w:line="240" w:lineRule="auto"/>
              <w:jc w:val="right"/>
            </w:pPr>
            <w:r>
              <w:rPr>
                <w:sz w:val="18"/>
              </w:rPr>
              <w:t>10.513,34</w:t>
            </w:r>
          </w:p>
        </w:tc>
        <w:tc>
          <w:tcPr>
            <w:tcW w:w="700" w:type="dxa"/>
            <w:tcMar>
              <w:top w:w="0" w:type="dxa"/>
              <w:bottom w:w="0" w:type="dxa"/>
            </w:tcMar>
            <w:vAlign w:val="center"/>
          </w:tcPr>
          <w:p w14:paraId="356CA75C" w14:textId="77777777" w:rsidR="00975DC5" w:rsidRDefault="00000000">
            <w:pPr>
              <w:keepNext/>
              <w:keepLines/>
              <w:spacing w:after="0" w:line="240" w:lineRule="auto"/>
              <w:jc w:val="right"/>
            </w:pPr>
            <w:r>
              <w:rPr>
                <w:sz w:val="18"/>
              </w:rPr>
              <w:t>-</w:t>
            </w:r>
          </w:p>
        </w:tc>
      </w:tr>
      <w:tr w:rsidR="00975DC5" w14:paraId="0249B8C6" w14:textId="77777777">
        <w:tblPrEx>
          <w:tblCellMar>
            <w:top w:w="0" w:type="dxa"/>
            <w:bottom w:w="0" w:type="dxa"/>
          </w:tblCellMar>
        </w:tblPrEx>
        <w:trPr>
          <w:cantSplit/>
          <w:trHeight w:val="560"/>
        </w:trPr>
        <w:tc>
          <w:tcPr>
            <w:tcW w:w="700" w:type="dxa"/>
            <w:tcMar>
              <w:top w:w="0" w:type="dxa"/>
              <w:bottom w:w="0" w:type="dxa"/>
            </w:tcMar>
            <w:vAlign w:val="center"/>
          </w:tcPr>
          <w:p w14:paraId="29E97984" w14:textId="77777777" w:rsidR="00975DC5" w:rsidRDefault="00000000">
            <w:pPr>
              <w:keepNext/>
              <w:keepLines/>
              <w:spacing w:after="0" w:line="240" w:lineRule="auto"/>
            </w:pPr>
            <w:r>
              <w:rPr>
                <w:sz w:val="18"/>
              </w:rPr>
              <w:t>4</w:t>
            </w:r>
          </w:p>
        </w:tc>
        <w:tc>
          <w:tcPr>
            <w:tcW w:w="3180" w:type="dxa"/>
            <w:tcMar>
              <w:top w:w="0" w:type="dxa"/>
              <w:bottom w:w="0" w:type="dxa"/>
            </w:tcMar>
            <w:vAlign w:val="center"/>
          </w:tcPr>
          <w:p w14:paraId="7CE778D1" w14:textId="77777777" w:rsidR="00975DC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712EF26" w14:textId="77777777" w:rsidR="00975DC5" w:rsidRDefault="00000000">
            <w:pPr>
              <w:keepNext/>
              <w:keepLines/>
              <w:spacing w:after="0" w:line="240" w:lineRule="auto"/>
            </w:pPr>
            <w:r>
              <w:rPr>
                <w:sz w:val="18"/>
              </w:rPr>
              <w:t>4</w:t>
            </w:r>
          </w:p>
        </w:tc>
        <w:tc>
          <w:tcPr>
            <w:tcW w:w="1860" w:type="dxa"/>
            <w:tcMar>
              <w:top w:w="0" w:type="dxa"/>
              <w:bottom w:w="0" w:type="dxa"/>
            </w:tcMar>
            <w:vAlign w:val="center"/>
          </w:tcPr>
          <w:p w14:paraId="0C6D5D26" w14:textId="77777777" w:rsidR="00975DC5" w:rsidRDefault="00000000">
            <w:pPr>
              <w:keepNext/>
              <w:keepLines/>
              <w:spacing w:after="0" w:line="240" w:lineRule="auto"/>
              <w:jc w:val="right"/>
            </w:pPr>
            <w:r>
              <w:rPr>
                <w:sz w:val="18"/>
              </w:rPr>
              <w:t>464.883,62</w:t>
            </w:r>
          </w:p>
        </w:tc>
        <w:tc>
          <w:tcPr>
            <w:tcW w:w="1860" w:type="dxa"/>
            <w:tcMar>
              <w:top w:w="0" w:type="dxa"/>
              <w:bottom w:w="0" w:type="dxa"/>
            </w:tcMar>
            <w:vAlign w:val="center"/>
          </w:tcPr>
          <w:p w14:paraId="5A9B3433" w14:textId="77777777" w:rsidR="00975DC5" w:rsidRDefault="00000000">
            <w:pPr>
              <w:keepNext/>
              <w:keepLines/>
              <w:spacing w:after="0" w:line="240" w:lineRule="auto"/>
              <w:jc w:val="right"/>
            </w:pPr>
            <w:r>
              <w:rPr>
                <w:sz w:val="18"/>
              </w:rPr>
              <w:t>984.735,43</w:t>
            </w:r>
          </w:p>
        </w:tc>
        <w:tc>
          <w:tcPr>
            <w:tcW w:w="700" w:type="dxa"/>
            <w:tcMar>
              <w:top w:w="0" w:type="dxa"/>
              <w:bottom w:w="0" w:type="dxa"/>
            </w:tcMar>
            <w:vAlign w:val="center"/>
          </w:tcPr>
          <w:p w14:paraId="0F2E679D" w14:textId="77777777" w:rsidR="00975DC5" w:rsidRDefault="00000000">
            <w:pPr>
              <w:keepNext/>
              <w:keepLines/>
              <w:spacing w:after="0" w:line="240" w:lineRule="auto"/>
              <w:jc w:val="right"/>
            </w:pPr>
            <w:r>
              <w:rPr>
                <w:sz w:val="18"/>
              </w:rPr>
              <w:t>211,8</w:t>
            </w:r>
          </w:p>
        </w:tc>
      </w:tr>
      <w:tr w:rsidR="00975DC5" w14:paraId="4E2D0DAC" w14:textId="77777777">
        <w:tblPrEx>
          <w:tblCellMar>
            <w:top w:w="0" w:type="dxa"/>
            <w:bottom w:w="0" w:type="dxa"/>
          </w:tblCellMar>
        </w:tblPrEx>
        <w:trPr>
          <w:cantSplit/>
          <w:trHeight w:val="560"/>
        </w:trPr>
        <w:tc>
          <w:tcPr>
            <w:tcW w:w="700" w:type="dxa"/>
            <w:tcMar>
              <w:top w:w="0" w:type="dxa"/>
              <w:bottom w:w="0" w:type="dxa"/>
            </w:tcMar>
            <w:vAlign w:val="center"/>
          </w:tcPr>
          <w:p w14:paraId="61422306" w14:textId="77777777" w:rsidR="00975DC5" w:rsidRDefault="00975DC5">
            <w:pPr>
              <w:keepNext/>
              <w:keepLines/>
              <w:spacing w:after="0" w:line="240" w:lineRule="auto"/>
            </w:pPr>
          </w:p>
        </w:tc>
        <w:tc>
          <w:tcPr>
            <w:tcW w:w="3180" w:type="dxa"/>
            <w:tcMar>
              <w:top w:w="0" w:type="dxa"/>
              <w:bottom w:w="0" w:type="dxa"/>
            </w:tcMar>
            <w:vAlign w:val="center"/>
          </w:tcPr>
          <w:p w14:paraId="414685A2" w14:textId="77777777" w:rsidR="00975DC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9816A46" w14:textId="77777777" w:rsidR="00975DC5" w:rsidRDefault="00000000">
            <w:pPr>
              <w:keepNext/>
              <w:keepLines/>
              <w:spacing w:after="0" w:line="240" w:lineRule="auto"/>
            </w:pPr>
            <w:r>
              <w:rPr>
                <w:b/>
                <w:sz w:val="18"/>
              </w:rPr>
              <w:t>Y002</w:t>
            </w:r>
          </w:p>
        </w:tc>
        <w:tc>
          <w:tcPr>
            <w:tcW w:w="1860" w:type="dxa"/>
            <w:tcMar>
              <w:top w:w="0" w:type="dxa"/>
              <w:bottom w:w="0" w:type="dxa"/>
            </w:tcMar>
            <w:vAlign w:val="center"/>
          </w:tcPr>
          <w:p w14:paraId="04D6D1C8" w14:textId="77777777" w:rsidR="00975DC5" w:rsidRDefault="00000000">
            <w:pPr>
              <w:keepNext/>
              <w:keepLines/>
              <w:spacing w:after="0" w:line="240" w:lineRule="auto"/>
              <w:jc w:val="right"/>
            </w:pPr>
            <w:r>
              <w:rPr>
                <w:b/>
                <w:sz w:val="18"/>
              </w:rPr>
              <w:t>464.883,62</w:t>
            </w:r>
          </w:p>
        </w:tc>
        <w:tc>
          <w:tcPr>
            <w:tcW w:w="1860" w:type="dxa"/>
            <w:tcMar>
              <w:top w:w="0" w:type="dxa"/>
              <w:bottom w:w="0" w:type="dxa"/>
            </w:tcMar>
            <w:vAlign w:val="center"/>
          </w:tcPr>
          <w:p w14:paraId="403A8AAC" w14:textId="77777777" w:rsidR="00975DC5" w:rsidRDefault="00000000">
            <w:pPr>
              <w:keepNext/>
              <w:keepLines/>
              <w:spacing w:after="0" w:line="240" w:lineRule="auto"/>
              <w:jc w:val="right"/>
            </w:pPr>
            <w:r>
              <w:rPr>
                <w:b/>
                <w:sz w:val="18"/>
              </w:rPr>
              <w:t>974.222,09</w:t>
            </w:r>
          </w:p>
        </w:tc>
        <w:tc>
          <w:tcPr>
            <w:tcW w:w="700" w:type="dxa"/>
            <w:tcMar>
              <w:top w:w="0" w:type="dxa"/>
              <w:bottom w:w="0" w:type="dxa"/>
            </w:tcMar>
            <w:vAlign w:val="center"/>
          </w:tcPr>
          <w:p w14:paraId="20E6B7FC" w14:textId="77777777" w:rsidR="00975DC5" w:rsidRDefault="00000000">
            <w:pPr>
              <w:keepNext/>
              <w:keepLines/>
              <w:spacing w:after="0" w:line="240" w:lineRule="auto"/>
              <w:jc w:val="right"/>
            </w:pPr>
            <w:r>
              <w:rPr>
                <w:b/>
                <w:sz w:val="18"/>
              </w:rPr>
              <w:t>209,6</w:t>
            </w:r>
          </w:p>
        </w:tc>
      </w:tr>
      <w:tr w:rsidR="00975DC5" w14:paraId="4CE82286" w14:textId="77777777">
        <w:tblPrEx>
          <w:tblCellMar>
            <w:top w:w="0" w:type="dxa"/>
            <w:bottom w:w="0" w:type="dxa"/>
          </w:tblCellMar>
        </w:tblPrEx>
        <w:trPr>
          <w:cantSplit/>
          <w:trHeight w:val="560"/>
        </w:trPr>
        <w:tc>
          <w:tcPr>
            <w:tcW w:w="700" w:type="dxa"/>
            <w:tcMar>
              <w:top w:w="0" w:type="dxa"/>
              <w:bottom w:w="0" w:type="dxa"/>
            </w:tcMar>
            <w:vAlign w:val="center"/>
          </w:tcPr>
          <w:p w14:paraId="31725222" w14:textId="77777777" w:rsidR="00975DC5" w:rsidRDefault="00000000">
            <w:pPr>
              <w:keepNext/>
              <w:keepLines/>
              <w:spacing w:after="0" w:line="240" w:lineRule="auto"/>
            </w:pPr>
            <w:r>
              <w:rPr>
                <w:sz w:val="18"/>
              </w:rPr>
              <w:t>8</w:t>
            </w:r>
          </w:p>
        </w:tc>
        <w:tc>
          <w:tcPr>
            <w:tcW w:w="3180" w:type="dxa"/>
            <w:tcMar>
              <w:top w:w="0" w:type="dxa"/>
              <w:bottom w:w="0" w:type="dxa"/>
            </w:tcMar>
            <w:vAlign w:val="center"/>
          </w:tcPr>
          <w:p w14:paraId="09C5A33E" w14:textId="77777777" w:rsidR="00975DC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E144089" w14:textId="77777777" w:rsidR="00975DC5" w:rsidRDefault="00000000">
            <w:pPr>
              <w:keepNext/>
              <w:keepLines/>
              <w:spacing w:after="0" w:line="240" w:lineRule="auto"/>
            </w:pPr>
            <w:r>
              <w:rPr>
                <w:sz w:val="18"/>
              </w:rPr>
              <w:t>8</w:t>
            </w:r>
          </w:p>
        </w:tc>
        <w:tc>
          <w:tcPr>
            <w:tcW w:w="1860" w:type="dxa"/>
            <w:tcMar>
              <w:top w:w="0" w:type="dxa"/>
              <w:bottom w:w="0" w:type="dxa"/>
            </w:tcMar>
            <w:vAlign w:val="center"/>
          </w:tcPr>
          <w:p w14:paraId="69FCBEC1" w14:textId="77777777" w:rsidR="00975DC5" w:rsidRDefault="00000000">
            <w:pPr>
              <w:keepNext/>
              <w:keepLines/>
              <w:spacing w:after="0" w:line="240" w:lineRule="auto"/>
              <w:jc w:val="right"/>
            </w:pPr>
            <w:r>
              <w:rPr>
                <w:sz w:val="18"/>
              </w:rPr>
              <w:t>265.000,00</w:t>
            </w:r>
          </w:p>
        </w:tc>
        <w:tc>
          <w:tcPr>
            <w:tcW w:w="1860" w:type="dxa"/>
            <w:tcMar>
              <w:top w:w="0" w:type="dxa"/>
              <w:bottom w:w="0" w:type="dxa"/>
            </w:tcMar>
            <w:vAlign w:val="center"/>
          </w:tcPr>
          <w:p w14:paraId="202EDD0A" w14:textId="77777777" w:rsidR="00975DC5" w:rsidRDefault="00000000">
            <w:pPr>
              <w:keepNext/>
              <w:keepLines/>
              <w:spacing w:after="0" w:line="240" w:lineRule="auto"/>
              <w:jc w:val="right"/>
            </w:pPr>
            <w:r>
              <w:rPr>
                <w:sz w:val="18"/>
              </w:rPr>
              <w:t>265.000,00</w:t>
            </w:r>
          </w:p>
        </w:tc>
        <w:tc>
          <w:tcPr>
            <w:tcW w:w="700" w:type="dxa"/>
            <w:tcMar>
              <w:top w:w="0" w:type="dxa"/>
              <w:bottom w:w="0" w:type="dxa"/>
            </w:tcMar>
            <w:vAlign w:val="center"/>
          </w:tcPr>
          <w:p w14:paraId="40E283D4" w14:textId="77777777" w:rsidR="00975DC5" w:rsidRDefault="00000000">
            <w:pPr>
              <w:keepNext/>
              <w:keepLines/>
              <w:spacing w:after="0" w:line="240" w:lineRule="auto"/>
              <w:jc w:val="right"/>
            </w:pPr>
            <w:r>
              <w:rPr>
                <w:sz w:val="18"/>
              </w:rPr>
              <w:t>100</w:t>
            </w:r>
          </w:p>
        </w:tc>
      </w:tr>
      <w:tr w:rsidR="00975DC5" w14:paraId="28372670" w14:textId="77777777">
        <w:tblPrEx>
          <w:tblCellMar>
            <w:top w:w="0" w:type="dxa"/>
            <w:bottom w:w="0" w:type="dxa"/>
          </w:tblCellMar>
        </w:tblPrEx>
        <w:trPr>
          <w:cantSplit/>
          <w:trHeight w:val="560"/>
        </w:trPr>
        <w:tc>
          <w:tcPr>
            <w:tcW w:w="700" w:type="dxa"/>
            <w:tcMar>
              <w:top w:w="0" w:type="dxa"/>
              <w:bottom w:w="0" w:type="dxa"/>
            </w:tcMar>
            <w:vAlign w:val="center"/>
          </w:tcPr>
          <w:p w14:paraId="0081459A" w14:textId="77777777" w:rsidR="00975DC5" w:rsidRDefault="00000000">
            <w:pPr>
              <w:keepNext/>
              <w:keepLines/>
              <w:spacing w:after="0" w:line="240" w:lineRule="auto"/>
            </w:pPr>
            <w:r>
              <w:rPr>
                <w:sz w:val="18"/>
              </w:rPr>
              <w:t>5</w:t>
            </w:r>
          </w:p>
        </w:tc>
        <w:tc>
          <w:tcPr>
            <w:tcW w:w="3180" w:type="dxa"/>
            <w:tcMar>
              <w:top w:w="0" w:type="dxa"/>
              <w:bottom w:w="0" w:type="dxa"/>
            </w:tcMar>
            <w:vAlign w:val="center"/>
          </w:tcPr>
          <w:p w14:paraId="7A57CD07" w14:textId="77777777" w:rsidR="00975DC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5618C91" w14:textId="77777777" w:rsidR="00975DC5" w:rsidRDefault="00000000">
            <w:pPr>
              <w:keepNext/>
              <w:keepLines/>
              <w:spacing w:after="0" w:line="240" w:lineRule="auto"/>
            </w:pPr>
            <w:r>
              <w:rPr>
                <w:sz w:val="18"/>
              </w:rPr>
              <w:t>5</w:t>
            </w:r>
          </w:p>
        </w:tc>
        <w:tc>
          <w:tcPr>
            <w:tcW w:w="1860" w:type="dxa"/>
            <w:tcMar>
              <w:top w:w="0" w:type="dxa"/>
              <w:bottom w:w="0" w:type="dxa"/>
            </w:tcMar>
            <w:vAlign w:val="center"/>
          </w:tcPr>
          <w:p w14:paraId="5A5A61D4" w14:textId="77777777" w:rsidR="00975DC5" w:rsidRDefault="00000000">
            <w:pPr>
              <w:keepNext/>
              <w:keepLines/>
              <w:spacing w:after="0" w:line="240" w:lineRule="auto"/>
              <w:jc w:val="right"/>
            </w:pPr>
            <w:r>
              <w:rPr>
                <w:sz w:val="18"/>
              </w:rPr>
              <w:t>0,00</w:t>
            </w:r>
          </w:p>
        </w:tc>
        <w:tc>
          <w:tcPr>
            <w:tcW w:w="1860" w:type="dxa"/>
            <w:tcMar>
              <w:top w:w="0" w:type="dxa"/>
              <w:bottom w:w="0" w:type="dxa"/>
            </w:tcMar>
            <w:vAlign w:val="center"/>
          </w:tcPr>
          <w:p w14:paraId="5867E2F9" w14:textId="77777777" w:rsidR="00975DC5" w:rsidRDefault="00000000">
            <w:pPr>
              <w:keepNext/>
              <w:keepLines/>
              <w:spacing w:after="0" w:line="240" w:lineRule="auto"/>
              <w:jc w:val="right"/>
            </w:pPr>
            <w:r>
              <w:rPr>
                <w:sz w:val="18"/>
              </w:rPr>
              <w:t>265.000,00</w:t>
            </w:r>
          </w:p>
        </w:tc>
        <w:tc>
          <w:tcPr>
            <w:tcW w:w="700" w:type="dxa"/>
            <w:tcMar>
              <w:top w:w="0" w:type="dxa"/>
              <w:bottom w:w="0" w:type="dxa"/>
            </w:tcMar>
            <w:vAlign w:val="center"/>
          </w:tcPr>
          <w:p w14:paraId="247B45F2" w14:textId="77777777" w:rsidR="00975DC5" w:rsidRDefault="00000000">
            <w:pPr>
              <w:keepNext/>
              <w:keepLines/>
              <w:spacing w:after="0" w:line="240" w:lineRule="auto"/>
              <w:jc w:val="right"/>
            </w:pPr>
            <w:r>
              <w:rPr>
                <w:sz w:val="18"/>
              </w:rPr>
              <w:t>-</w:t>
            </w:r>
          </w:p>
        </w:tc>
      </w:tr>
      <w:tr w:rsidR="00975DC5" w14:paraId="6EE4E7FA" w14:textId="77777777">
        <w:tblPrEx>
          <w:tblCellMar>
            <w:top w:w="0" w:type="dxa"/>
            <w:bottom w:w="0" w:type="dxa"/>
          </w:tblCellMar>
        </w:tblPrEx>
        <w:trPr>
          <w:cantSplit/>
          <w:trHeight w:val="560"/>
        </w:trPr>
        <w:tc>
          <w:tcPr>
            <w:tcW w:w="700" w:type="dxa"/>
            <w:tcMar>
              <w:top w:w="0" w:type="dxa"/>
              <w:bottom w:w="0" w:type="dxa"/>
            </w:tcMar>
            <w:vAlign w:val="center"/>
          </w:tcPr>
          <w:p w14:paraId="66CA6223" w14:textId="77777777" w:rsidR="00975DC5" w:rsidRDefault="00975DC5">
            <w:pPr>
              <w:keepNext/>
              <w:keepLines/>
              <w:spacing w:after="0" w:line="240" w:lineRule="auto"/>
            </w:pPr>
          </w:p>
        </w:tc>
        <w:tc>
          <w:tcPr>
            <w:tcW w:w="3180" w:type="dxa"/>
            <w:tcMar>
              <w:top w:w="0" w:type="dxa"/>
              <w:bottom w:w="0" w:type="dxa"/>
            </w:tcMar>
            <w:vAlign w:val="center"/>
          </w:tcPr>
          <w:p w14:paraId="7D23D58B" w14:textId="77777777" w:rsidR="00975DC5"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2C426DC" w14:textId="77777777" w:rsidR="00975DC5" w:rsidRDefault="00000000">
            <w:pPr>
              <w:keepNext/>
              <w:keepLines/>
              <w:spacing w:after="0" w:line="240" w:lineRule="auto"/>
            </w:pPr>
            <w:r>
              <w:rPr>
                <w:b/>
                <w:sz w:val="18"/>
              </w:rPr>
              <w:t>X003, Y003</w:t>
            </w:r>
          </w:p>
        </w:tc>
        <w:tc>
          <w:tcPr>
            <w:tcW w:w="1860" w:type="dxa"/>
            <w:tcMar>
              <w:top w:w="0" w:type="dxa"/>
              <w:bottom w:w="0" w:type="dxa"/>
            </w:tcMar>
            <w:vAlign w:val="center"/>
          </w:tcPr>
          <w:p w14:paraId="1A13BF62" w14:textId="77777777" w:rsidR="00975DC5" w:rsidRDefault="00000000">
            <w:pPr>
              <w:keepNext/>
              <w:keepLines/>
              <w:spacing w:after="0" w:line="240" w:lineRule="auto"/>
              <w:jc w:val="right"/>
            </w:pPr>
            <w:r>
              <w:rPr>
                <w:b/>
                <w:sz w:val="18"/>
              </w:rPr>
              <w:t>0,00</w:t>
            </w:r>
          </w:p>
        </w:tc>
        <w:tc>
          <w:tcPr>
            <w:tcW w:w="1860" w:type="dxa"/>
            <w:tcMar>
              <w:top w:w="0" w:type="dxa"/>
              <w:bottom w:w="0" w:type="dxa"/>
            </w:tcMar>
            <w:vAlign w:val="center"/>
          </w:tcPr>
          <w:p w14:paraId="02A1D6F1" w14:textId="77777777" w:rsidR="00975DC5" w:rsidRDefault="00000000">
            <w:pPr>
              <w:keepNext/>
              <w:keepLines/>
              <w:spacing w:after="0" w:line="240" w:lineRule="auto"/>
              <w:jc w:val="right"/>
            </w:pPr>
            <w:r>
              <w:rPr>
                <w:b/>
                <w:sz w:val="18"/>
              </w:rPr>
              <w:t>0,00</w:t>
            </w:r>
          </w:p>
        </w:tc>
        <w:tc>
          <w:tcPr>
            <w:tcW w:w="700" w:type="dxa"/>
            <w:tcMar>
              <w:top w:w="0" w:type="dxa"/>
              <w:bottom w:w="0" w:type="dxa"/>
            </w:tcMar>
            <w:vAlign w:val="center"/>
          </w:tcPr>
          <w:p w14:paraId="15BF81D8" w14:textId="77777777" w:rsidR="00975DC5" w:rsidRDefault="00000000">
            <w:pPr>
              <w:keepNext/>
              <w:keepLines/>
              <w:spacing w:after="0" w:line="240" w:lineRule="auto"/>
              <w:jc w:val="right"/>
            </w:pPr>
            <w:r>
              <w:rPr>
                <w:b/>
                <w:sz w:val="18"/>
              </w:rPr>
              <w:t>-</w:t>
            </w:r>
          </w:p>
        </w:tc>
      </w:tr>
      <w:tr w:rsidR="00975DC5" w14:paraId="28A512D4" w14:textId="77777777">
        <w:tblPrEx>
          <w:tblCellMar>
            <w:top w:w="0" w:type="dxa"/>
            <w:bottom w:w="0" w:type="dxa"/>
          </w:tblCellMar>
        </w:tblPrEx>
        <w:trPr>
          <w:cantSplit/>
          <w:trHeight w:val="560"/>
        </w:trPr>
        <w:tc>
          <w:tcPr>
            <w:tcW w:w="700" w:type="dxa"/>
            <w:tcMar>
              <w:top w:w="0" w:type="dxa"/>
              <w:bottom w:w="0" w:type="dxa"/>
            </w:tcMar>
            <w:vAlign w:val="center"/>
          </w:tcPr>
          <w:p w14:paraId="5EA44E9D" w14:textId="77777777" w:rsidR="00975DC5" w:rsidRDefault="00975DC5">
            <w:pPr>
              <w:keepNext/>
              <w:keepLines/>
              <w:spacing w:after="0" w:line="240" w:lineRule="auto"/>
            </w:pPr>
          </w:p>
        </w:tc>
        <w:tc>
          <w:tcPr>
            <w:tcW w:w="3180" w:type="dxa"/>
            <w:tcMar>
              <w:top w:w="0" w:type="dxa"/>
              <w:bottom w:w="0" w:type="dxa"/>
            </w:tcMar>
            <w:vAlign w:val="center"/>
          </w:tcPr>
          <w:p w14:paraId="6068D358" w14:textId="77777777" w:rsidR="00975DC5"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080CFE7" w14:textId="77777777" w:rsidR="00975DC5" w:rsidRDefault="00000000">
            <w:pPr>
              <w:keepNext/>
              <w:keepLines/>
              <w:spacing w:after="0" w:line="240" w:lineRule="auto"/>
            </w:pPr>
            <w:r>
              <w:rPr>
                <w:b/>
                <w:sz w:val="18"/>
              </w:rPr>
              <w:t>Y005</w:t>
            </w:r>
          </w:p>
        </w:tc>
        <w:tc>
          <w:tcPr>
            <w:tcW w:w="1860" w:type="dxa"/>
            <w:tcMar>
              <w:top w:w="0" w:type="dxa"/>
              <w:bottom w:w="0" w:type="dxa"/>
            </w:tcMar>
            <w:vAlign w:val="center"/>
          </w:tcPr>
          <w:p w14:paraId="58B4B133" w14:textId="77777777" w:rsidR="00975DC5" w:rsidRDefault="00000000">
            <w:pPr>
              <w:keepNext/>
              <w:keepLines/>
              <w:spacing w:after="0" w:line="240" w:lineRule="auto"/>
              <w:jc w:val="right"/>
            </w:pPr>
            <w:r>
              <w:rPr>
                <w:b/>
                <w:sz w:val="18"/>
              </w:rPr>
              <w:t>0,00</w:t>
            </w:r>
          </w:p>
        </w:tc>
        <w:tc>
          <w:tcPr>
            <w:tcW w:w="1860" w:type="dxa"/>
            <w:tcMar>
              <w:top w:w="0" w:type="dxa"/>
              <w:bottom w:w="0" w:type="dxa"/>
            </w:tcMar>
            <w:vAlign w:val="center"/>
          </w:tcPr>
          <w:p w14:paraId="26FEDB07" w14:textId="77777777" w:rsidR="00975DC5" w:rsidRDefault="00000000">
            <w:pPr>
              <w:keepNext/>
              <w:keepLines/>
              <w:spacing w:after="0" w:line="240" w:lineRule="auto"/>
              <w:jc w:val="right"/>
            </w:pPr>
            <w:r>
              <w:rPr>
                <w:b/>
                <w:sz w:val="18"/>
              </w:rPr>
              <w:t>477.508,49</w:t>
            </w:r>
          </w:p>
        </w:tc>
        <w:tc>
          <w:tcPr>
            <w:tcW w:w="700" w:type="dxa"/>
            <w:tcMar>
              <w:top w:w="0" w:type="dxa"/>
              <w:bottom w:w="0" w:type="dxa"/>
            </w:tcMar>
            <w:vAlign w:val="center"/>
          </w:tcPr>
          <w:p w14:paraId="1A256BCB" w14:textId="77777777" w:rsidR="00975DC5" w:rsidRDefault="00000000">
            <w:pPr>
              <w:keepNext/>
              <w:keepLines/>
              <w:spacing w:after="0" w:line="240" w:lineRule="auto"/>
              <w:jc w:val="right"/>
            </w:pPr>
            <w:r>
              <w:rPr>
                <w:b/>
                <w:sz w:val="18"/>
              </w:rPr>
              <w:t>-</w:t>
            </w:r>
          </w:p>
        </w:tc>
      </w:tr>
    </w:tbl>
    <w:p w14:paraId="5FD01ED0" w14:textId="77777777" w:rsidR="00975DC5" w:rsidRDefault="00975DC5">
      <w:pPr>
        <w:spacing w:after="0"/>
      </w:pPr>
    </w:p>
    <w:p w14:paraId="4E3AFC8F" w14:textId="77777777" w:rsidR="00975DC5" w:rsidRDefault="00000000">
      <w:r>
        <w:t>U tekućem izvještajnom razdoblju Općina Tovarnik ostvarila je sljedeći rezultat poslovanja:</w:t>
      </w:r>
    </w:p>
    <w:p w14:paraId="47F7E279" w14:textId="77777777" w:rsidR="00975DC5" w:rsidRDefault="00000000">
      <w:r>
        <w:t>Ukupni prihodi poslovanja (šifra 6) iznose 3.175.791,22 eura, dok ukupni rashodi poslovanja (šifra 3) iznose 2.679.077,62 eura. Razlika ukupno ostvarenih prihoda i rashoda poslovanja čini višak prihoda poslovanja (šifra X001) u iznosu od 496.713,60 eura.</w:t>
      </w:r>
    </w:p>
    <w:p w14:paraId="0BB824B6" w14:textId="77777777" w:rsidR="00975DC5" w:rsidRDefault="00000000">
      <w:r>
        <w:lastRenderedPageBreak/>
        <w:t>Ukupni prihodi od prodaje nefinancijske imovine (šifra 7) iznose 10.513,34 eura, dok ukupni rashodi za nabavu nefinancijske (šifra 4) iznose 984.735,43 eura. Razlika ukupno ostvarenih prihoda i rashoda od prodaje odnosno nabave nefinancijske imovine čini manjak prihoda od nefinancijske imovine (šifra Y002) u iznosu od 974.222,09 eura.</w:t>
      </w:r>
    </w:p>
    <w:p w14:paraId="32650B0C" w14:textId="77777777" w:rsidR="00975DC5" w:rsidRDefault="00000000">
      <w:r>
        <w:t>Razlikom ukupnih rashoda (šifra Y034) i ukupnih prihoda (šifra X067) ostvaren je manjak prihoda i primitaka (šifra Y005) u iznosu od 477.508,49 eura.</w:t>
      </w:r>
    </w:p>
    <w:p w14:paraId="69659649" w14:textId="77777777" w:rsidR="00975DC5" w:rsidRDefault="00000000">
      <w:r>
        <w:t>Višak prihoda i primitaka raspoloživ u sljedećem razdoblju (šifra X006) iznosi 38.082,56 eura.</w:t>
      </w:r>
    </w:p>
    <w:p w14:paraId="794360EF" w14:textId="77777777" w:rsidR="00975DC5" w:rsidRDefault="00000000">
      <w:r>
        <w:t>S obzirom da višak prihoda i primitaka raspoloživ u sljedećem razdoblju nije dovoljan da pokrije manjak prihoda i primitaka, ostvaren je negativan rezultat poslovanja, odnosno ostvaren je manjak prihoda i primitaka za pokriće u sljedećem razdoblju (šifra Y006) u iznosu od 439.425,93 eura.</w:t>
      </w:r>
    </w:p>
    <w:p w14:paraId="28EA98AD" w14:textId="77777777" w:rsidR="00975DC5" w:rsidRDefault="00000000">
      <w:r>
        <w:br/>
      </w:r>
    </w:p>
    <w:p w14:paraId="4AEFF565" w14:textId="77777777" w:rsidR="00975DC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424176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A607A5"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802A9E"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EFDBF8"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D69A80"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F1FF70"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E1247B" w14:textId="77777777" w:rsidR="00975DC5" w:rsidRDefault="00000000">
            <w:pPr>
              <w:keepNext/>
              <w:keepLines/>
              <w:spacing w:after="0" w:line="240" w:lineRule="auto"/>
              <w:jc w:val="center"/>
            </w:pPr>
            <w:r>
              <w:rPr>
                <w:b/>
                <w:sz w:val="18"/>
              </w:rPr>
              <w:t>Indeks (%)</w:t>
            </w:r>
          </w:p>
        </w:tc>
      </w:tr>
      <w:tr w:rsidR="00975DC5" w14:paraId="48602982" w14:textId="77777777">
        <w:tblPrEx>
          <w:tblCellMar>
            <w:top w:w="0" w:type="dxa"/>
            <w:bottom w:w="0" w:type="dxa"/>
          </w:tblCellMar>
        </w:tblPrEx>
        <w:trPr>
          <w:cantSplit/>
          <w:trHeight w:val="560"/>
        </w:trPr>
        <w:tc>
          <w:tcPr>
            <w:tcW w:w="700" w:type="dxa"/>
            <w:tcMar>
              <w:top w:w="0" w:type="dxa"/>
              <w:bottom w:w="0" w:type="dxa"/>
            </w:tcMar>
            <w:vAlign w:val="center"/>
          </w:tcPr>
          <w:p w14:paraId="64756529" w14:textId="77777777" w:rsidR="00975DC5" w:rsidRDefault="00000000">
            <w:pPr>
              <w:keepNext/>
              <w:keepLines/>
              <w:spacing w:after="0" w:line="240" w:lineRule="auto"/>
            </w:pPr>
            <w:r>
              <w:rPr>
                <w:sz w:val="18"/>
              </w:rPr>
              <w:t>6</w:t>
            </w:r>
          </w:p>
        </w:tc>
        <w:tc>
          <w:tcPr>
            <w:tcW w:w="3180" w:type="dxa"/>
            <w:tcMar>
              <w:top w:w="0" w:type="dxa"/>
              <w:bottom w:w="0" w:type="dxa"/>
            </w:tcMar>
            <w:vAlign w:val="center"/>
          </w:tcPr>
          <w:p w14:paraId="06B6C5B1" w14:textId="77777777" w:rsidR="00975DC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CCACB14" w14:textId="77777777" w:rsidR="00975DC5" w:rsidRDefault="00000000">
            <w:pPr>
              <w:keepNext/>
              <w:keepLines/>
              <w:spacing w:after="0" w:line="240" w:lineRule="auto"/>
            </w:pPr>
            <w:r>
              <w:rPr>
                <w:sz w:val="18"/>
              </w:rPr>
              <w:t>6</w:t>
            </w:r>
          </w:p>
        </w:tc>
        <w:tc>
          <w:tcPr>
            <w:tcW w:w="1860" w:type="dxa"/>
            <w:tcMar>
              <w:top w:w="0" w:type="dxa"/>
              <w:bottom w:w="0" w:type="dxa"/>
            </w:tcMar>
            <w:vAlign w:val="center"/>
          </w:tcPr>
          <w:p w14:paraId="7ADD8572" w14:textId="77777777" w:rsidR="00975DC5" w:rsidRDefault="00000000">
            <w:pPr>
              <w:keepNext/>
              <w:keepLines/>
              <w:spacing w:after="0" w:line="240" w:lineRule="auto"/>
              <w:jc w:val="right"/>
            </w:pPr>
            <w:r>
              <w:rPr>
                <w:sz w:val="18"/>
              </w:rPr>
              <w:t>2.696.534,70</w:t>
            </w:r>
          </w:p>
        </w:tc>
        <w:tc>
          <w:tcPr>
            <w:tcW w:w="1860" w:type="dxa"/>
            <w:tcMar>
              <w:top w:w="0" w:type="dxa"/>
              <w:bottom w:w="0" w:type="dxa"/>
            </w:tcMar>
            <w:vAlign w:val="center"/>
          </w:tcPr>
          <w:p w14:paraId="1F5555AF" w14:textId="77777777" w:rsidR="00975DC5" w:rsidRDefault="00000000">
            <w:pPr>
              <w:keepNext/>
              <w:keepLines/>
              <w:spacing w:after="0" w:line="240" w:lineRule="auto"/>
              <w:jc w:val="right"/>
            </w:pPr>
            <w:r>
              <w:rPr>
                <w:sz w:val="18"/>
              </w:rPr>
              <w:t>3.175.791,22</w:t>
            </w:r>
          </w:p>
        </w:tc>
        <w:tc>
          <w:tcPr>
            <w:tcW w:w="700" w:type="dxa"/>
            <w:tcMar>
              <w:top w:w="0" w:type="dxa"/>
              <w:bottom w:w="0" w:type="dxa"/>
            </w:tcMar>
            <w:vAlign w:val="center"/>
          </w:tcPr>
          <w:p w14:paraId="27C4EA60" w14:textId="77777777" w:rsidR="00975DC5" w:rsidRDefault="00000000">
            <w:pPr>
              <w:keepNext/>
              <w:keepLines/>
              <w:spacing w:after="0" w:line="240" w:lineRule="auto"/>
              <w:jc w:val="right"/>
            </w:pPr>
            <w:r>
              <w:rPr>
                <w:sz w:val="18"/>
              </w:rPr>
              <w:t>117,8</w:t>
            </w:r>
          </w:p>
        </w:tc>
      </w:tr>
    </w:tbl>
    <w:p w14:paraId="2C2548C1" w14:textId="77777777" w:rsidR="00975DC5" w:rsidRDefault="00975DC5">
      <w:pPr>
        <w:spacing w:after="0"/>
      </w:pPr>
    </w:p>
    <w:p w14:paraId="2D64D680" w14:textId="77777777" w:rsidR="00975DC5" w:rsidRDefault="00000000">
      <w:r>
        <w:t>Ukupni prihodi poslovanja Općine Tovarnik na dan 31.12.2025. iznose 3.175.791,22 eura, što predstavlja povećanje od 17,8% u odnosu na prethodnu godinu.</w:t>
      </w:r>
    </w:p>
    <w:p w14:paraId="1085C3CB" w14:textId="77777777" w:rsidR="00975DC5" w:rsidRDefault="00975DC5"/>
    <w:p w14:paraId="76B50DAC" w14:textId="77777777" w:rsidR="00975DC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3AD4A6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DA71E7"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506C7B"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5E820D"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AFFE9F"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C7E1B2"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2A2B87" w14:textId="77777777" w:rsidR="00975DC5" w:rsidRDefault="00000000">
            <w:pPr>
              <w:keepNext/>
              <w:keepLines/>
              <w:spacing w:after="0" w:line="240" w:lineRule="auto"/>
              <w:jc w:val="center"/>
            </w:pPr>
            <w:r>
              <w:rPr>
                <w:b/>
                <w:sz w:val="18"/>
              </w:rPr>
              <w:t>Indeks (%)</w:t>
            </w:r>
          </w:p>
        </w:tc>
      </w:tr>
      <w:tr w:rsidR="00975DC5" w14:paraId="3A4DD140" w14:textId="77777777">
        <w:tblPrEx>
          <w:tblCellMar>
            <w:top w:w="0" w:type="dxa"/>
            <w:bottom w:w="0" w:type="dxa"/>
          </w:tblCellMar>
        </w:tblPrEx>
        <w:trPr>
          <w:cantSplit/>
          <w:trHeight w:val="560"/>
        </w:trPr>
        <w:tc>
          <w:tcPr>
            <w:tcW w:w="700" w:type="dxa"/>
            <w:tcMar>
              <w:top w:w="0" w:type="dxa"/>
              <w:bottom w:w="0" w:type="dxa"/>
            </w:tcMar>
            <w:vAlign w:val="center"/>
          </w:tcPr>
          <w:p w14:paraId="0B146D26" w14:textId="77777777" w:rsidR="00975DC5" w:rsidRDefault="00000000">
            <w:pPr>
              <w:keepNext/>
              <w:keepLines/>
              <w:spacing w:after="0" w:line="240" w:lineRule="auto"/>
            </w:pPr>
            <w:r>
              <w:rPr>
                <w:sz w:val="18"/>
              </w:rPr>
              <w:t>63</w:t>
            </w:r>
          </w:p>
        </w:tc>
        <w:tc>
          <w:tcPr>
            <w:tcW w:w="3180" w:type="dxa"/>
            <w:tcMar>
              <w:top w:w="0" w:type="dxa"/>
              <w:bottom w:w="0" w:type="dxa"/>
            </w:tcMar>
            <w:vAlign w:val="center"/>
          </w:tcPr>
          <w:p w14:paraId="29AC143C" w14:textId="77777777" w:rsidR="00975DC5"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9911BEF" w14:textId="77777777" w:rsidR="00975DC5" w:rsidRDefault="00000000">
            <w:pPr>
              <w:keepNext/>
              <w:keepLines/>
              <w:spacing w:after="0" w:line="240" w:lineRule="auto"/>
            </w:pPr>
            <w:r>
              <w:rPr>
                <w:sz w:val="18"/>
              </w:rPr>
              <w:t>63</w:t>
            </w:r>
          </w:p>
        </w:tc>
        <w:tc>
          <w:tcPr>
            <w:tcW w:w="1860" w:type="dxa"/>
            <w:tcMar>
              <w:top w:w="0" w:type="dxa"/>
              <w:bottom w:w="0" w:type="dxa"/>
            </w:tcMar>
            <w:vAlign w:val="center"/>
          </w:tcPr>
          <w:p w14:paraId="5EE98D5E" w14:textId="77777777" w:rsidR="00975DC5" w:rsidRDefault="00000000">
            <w:pPr>
              <w:keepNext/>
              <w:keepLines/>
              <w:spacing w:after="0" w:line="240" w:lineRule="auto"/>
              <w:jc w:val="right"/>
            </w:pPr>
            <w:r>
              <w:rPr>
                <w:sz w:val="18"/>
              </w:rPr>
              <w:t>1.301.301,80</w:t>
            </w:r>
          </w:p>
        </w:tc>
        <w:tc>
          <w:tcPr>
            <w:tcW w:w="1860" w:type="dxa"/>
            <w:tcMar>
              <w:top w:w="0" w:type="dxa"/>
              <w:bottom w:w="0" w:type="dxa"/>
            </w:tcMar>
            <w:vAlign w:val="center"/>
          </w:tcPr>
          <w:p w14:paraId="40E13E6B" w14:textId="77777777" w:rsidR="00975DC5" w:rsidRDefault="00000000">
            <w:pPr>
              <w:keepNext/>
              <w:keepLines/>
              <w:spacing w:after="0" w:line="240" w:lineRule="auto"/>
              <w:jc w:val="right"/>
            </w:pPr>
            <w:r>
              <w:rPr>
                <w:sz w:val="18"/>
              </w:rPr>
              <w:t>1.690.012,79</w:t>
            </w:r>
          </w:p>
        </w:tc>
        <w:tc>
          <w:tcPr>
            <w:tcW w:w="700" w:type="dxa"/>
            <w:tcMar>
              <w:top w:w="0" w:type="dxa"/>
              <w:bottom w:w="0" w:type="dxa"/>
            </w:tcMar>
            <w:vAlign w:val="center"/>
          </w:tcPr>
          <w:p w14:paraId="1C245E99" w14:textId="77777777" w:rsidR="00975DC5" w:rsidRDefault="00000000">
            <w:pPr>
              <w:keepNext/>
              <w:keepLines/>
              <w:spacing w:after="0" w:line="240" w:lineRule="auto"/>
              <w:jc w:val="right"/>
            </w:pPr>
            <w:r>
              <w:rPr>
                <w:sz w:val="18"/>
              </w:rPr>
              <w:t>129,9</w:t>
            </w:r>
          </w:p>
        </w:tc>
      </w:tr>
    </w:tbl>
    <w:p w14:paraId="56614A88" w14:textId="77777777" w:rsidR="00975DC5" w:rsidRDefault="00975DC5">
      <w:pPr>
        <w:spacing w:after="0"/>
      </w:pPr>
    </w:p>
    <w:p w14:paraId="6D752BC7" w14:textId="77777777" w:rsidR="00975DC5" w:rsidRDefault="00000000">
      <w:r>
        <w:t>Najveći udio u ukupnim prihodima zauzimaju pomoći iz inozemstva i od subjekata unutar općeg proračuna. Ovi prihodi obuhvaćaju: pomoći proračunu iz drugih proračuna, pomoći fiskalnog izravnanja i pomoći temeljem prijenosa EU sredstava. U odnosu na prethodno razdoblje povećani su za oko 30%, a povećanje je najvećim dijelom rezultat uplate sredstava pomoći za provedbu projekta Zaželi za cijelu 2025. godinu, dok se u 2024. godini projekt počeo provoditi polovicom godine pa je slijedom toga uplaćeno i manje sredstava. Nadalje, pomoći fiskalnog izravnanja su povećane za oko 7% u odnosu na prethodno razdoblje što je također rezultiralo povećanjem ovih prihoda.</w:t>
      </w:r>
    </w:p>
    <w:p w14:paraId="431D7278" w14:textId="77777777" w:rsidR="00975DC5" w:rsidRDefault="00975DC5"/>
    <w:p w14:paraId="5BBD4520" w14:textId="77777777" w:rsidR="00975DC5"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7C7762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11CD2C"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F8BDB7"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93002D"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7AB15D"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F30FBC"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AF55B2" w14:textId="77777777" w:rsidR="00975DC5" w:rsidRDefault="00000000">
            <w:pPr>
              <w:keepNext/>
              <w:keepLines/>
              <w:spacing w:after="0" w:line="240" w:lineRule="auto"/>
              <w:jc w:val="center"/>
            </w:pPr>
            <w:r>
              <w:rPr>
                <w:b/>
                <w:sz w:val="18"/>
              </w:rPr>
              <w:t>Indeks (%)</w:t>
            </w:r>
          </w:p>
        </w:tc>
      </w:tr>
      <w:tr w:rsidR="00975DC5" w14:paraId="7821E50F" w14:textId="77777777">
        <w:tblPrEx>
          <w:tblCellMar>
            <w:top w:w="0" w:type="dxa"/>
            <w:bottom w:w="0" w:type="dxa"/>
          </w:tblCellMar>
        </w:tblPrEx>
        <w:trPr>
          <w:cantSplit/>
          <w:trHeight w:val="560"/>
        </w:trPr>
        <w:tc>
          <w:tcPr>
            <w:tcW w:w="700" w:type="dxa"/>
            <w:tcMar>
              <w:top w:w="0" w:type="dxa"/>
              <w:bottom w:w="0" w:type="dxa"/>
            </w:tcMar>
            <w:vAlign w:val="center"/>
          </w:tcPr>
          <w:p w14:paraId="0B0CDA13" w14:textId="77777777" w:rsidR="00975DC5" w:rsidRDefault="00000000">
            <w:pPr>
              <w:keepNext/>
              <w:keepLines/>
              <w:spacing w:after="0" w:line="240" w:lineRule="auto"/>
            </w:pPr>
            <w:r>
              <w:rPr>
                <w:sz w:val="18"/>
              </w:rPr>
              <w:t>642</w:t>
            </w:r>
          </w:p>
        </w:tc>
        <w:tc>
          <w:tcPr>
            <w:tcW w:w="3180" w:type="dxa"/>
            <w:tcMar>
              <w:top w:w="0" w:type="dxa"/>
              <w:bottom w:w="0" w:type="dxa"/>
            </w:tcMar>
            <w:vAlign w:val="center"/>
          </w:tcPr>
          <w:p w14:paraId="0716C161" w14:textId="77777777" w:rsidR="00975DC5"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0F055BBE" w14:textId="77777777" w:rsidR="00975DC5" w:rsidRDefault="00000000">
            <w:pPr>
              <w:keepNext/>
              <w:keepLines/>
              <w:spacing w:after="0" w:line="240" w:lineRule="auto"/>
            </w:pPr>
            <w:r>
              <w:rPr>
                <w:sz w:val="18"/>
              </w:rPr>
              <w:t>642</w:t>
            </w:r>
          </w:p>
        </w:tc>
        <w:tc>
          <w:tcPr>
            <w:tcW w:w="1860" w:type="dxa"/>
            <w:tcMar>
              <w:top w:w="0" w:type="dxa"/>
              <w:bottom w:w="0" w:type="dxa"/>
            </w:tcMar>
            <w:vAlign w:val="center"/>
          </w:tcPr>
          <w:p w14:paraId="5B9D2FA9" w14:textId="77777777" w:rsidR="00975DC5" w:rsidRDefault="00000000">
            <w:pPr>
              <w:keepNext/>
              <w:keepLines/>
              <w:spacing w:after="0" w:line="240" w:lineRule="auto"/>
              <w:jc w:val="right"/>
            </w:pPr>
            <w:r>
              <w:rPr>
                <w:sz w:val="18"/>
              </w:rPr>
              <w:t>690.756,40</w:t>
            </w:r>
          </w:p>
        </w:tc>
        <w:tc>
          <w:tcPr>
            <w:tcW w:w="1860" w:type="dxa"/>
            <w:tcMar>
              <w:top w:w="0" w:type="dxa"/>
              <w:bottom w:w="0" w:type="dxa"/>
            </w:tcMar>
            <w:vAlign w:val="center"/>
          </w:tcPr>
          <w:p w14:paraId="383A439B" w14:textId="77777777" w:rsidR="00975DC5" w:rsidRDefault="00000000">
            <w:pPr>
              <w:keepNext/>
              <w:keepLines/>
              <w:spacing w:after="0" w:line="240" w:lineRule="auto"/>
              <w:jc w:val="right"/>
            </w:pPr>
            <w:r>
              <w:rPr>
                <w:sz w:val="18"/>
              </w:rPr>
              <w:t>585.817,78</w:t>
            </w:r>
          </w:p>
        </w:tc>
        <w:tc>
          <w:tcPr>
            <w:tcW w:w="700" w:type="dxa"/>
            <w:tcMar>
              <w:top w:w="0" w:type="dxa"/>
              <w:bottom w:w="0" w:type="dxa"/>
            </w:tcMar>
            <w:vAlign w:val="center"/>
          </w:tcPr>
          <w:p w14:paraId="2E4069A7" w14:textId="77777777" w:rsidR="00975DC5" w:rsidRDefault="00000000">
            <w:pPr>
              <w:keepNext/>
              <w:keepLines/>
              <w:spacing w:after="0" w:line="240" w:lineRule="auto"/>
              <w:jc w:val="right"/>
            </w:pPr>
            <w:r>
              <w:rPr>
                <w:sz w:val="18"/>
              </w:rPr>
              <w:t>84,8</w:t>
            </w:r>
          </w:p>
        </w:tc>
      </w:tr>
    </w:tbl>
    <w:p w14:paraId="475D75E5" w14:textId="77777777" w:rsidR="00975DC5" w:rsidRDefault="00975DC5">
      <w:pPr>
        <w:spacing w:after="0"/>
      </w:pPr>
    </w:p>
    <w:p w14:paraId="6780BF5C" w14:textId="77777777" w:rsidR="00975DC5" w:rsidRDefault="00000000">
      <w:r>
        <w:t>Značajno smanjenje u odnosu na prethodno razdoblje evidentirano je na prihodima od nefinancijske imovine, a odnosi se na naknade za korištenje naftne luke, naftovoda i eksploataciju mineralnih sirovina, spomeničku rentu i naknade za korištenje općinskih površina.</w:t>
      </w:r>
    </w:p>
    <w:p w14:paraId="513A1F36" w14:textId="77777777" w:rsidR="00975DC5" w:rsidRDefault="00975DC5"/>
    <w:p w14:paraId="3DCC3EF2" w14:textId="77777777" w:rsidR="00975DC5"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73F327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97AC12"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1066E"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508646"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3BFCE1"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610838"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854D4B" w14:textId="77777777" w:rsidR="00975DC5" w:rsidRDefault="00000000">
            <w:pPr>
              <w:keepNext/>
              <w:keepLines/>
              <w:spacing w:after="0" w:line="240" w:lineRule="auto"/>
              <w:jc w:val="center"/>
            </w:pPr>
            <w:r>
              <w:rPr>
                <w:b/>
                <w:sz w:val="18"/>
              </w:rPr>
              <w:t>Indeks (%)</w:t>
            </w:r>
          </w:p>
        </w:tc>
      </w:tr>
      <w:tr w:rsidR="00975DC5" w14:paraId="184DB283" w14:textId="77777777">
        <w:tblPrEx>
          <w:tblCellMar>
            <w:top w:w="0" w:type="dxa"/>
            <w:bottom w:w="0" w:type="dxa"/>
          </w:tblCellMar>
        </w:tblPrEx>
        <w:trPr>
          <w:cantSplit/>
          <w:trHeight w:val="560"/>
        </w:trPr>
        <w:tc>
          <w:tcPr>
            <w:tcW w:w="700" w:type="dxa"/>
            <w:tcMar>
              <w:top w:w="0" w:type="dxa"/>
              <w:bottom w:w="0" w:type="dxa"/>
            </w:tcMar>
            <w:vAlign w:val="center"/>
          </w:tcPr>
          <w:p w14:paraId="523805A6" w14:textId="77777777" w:rsidR="00975DC5" w:rsidRDefault="00000000">
            <w:pPr>
              <w:keepNext/>
              <w:keepLines/>
              <w:spacing w:after="0" w:line="240" w:lineRule="auto"/>
            </w:pPr>
            <w:r>
              <w:rPr>
                <w:sz w:val="18"/>
              </w:rPr>
              <w:t>65</w:t>
            </w:r>
          </w:p>
        </w:tc>
        <w:tc>
          <w:tcPr>
            <w:tcW w:w="3180" w:type="dxa"/>
            <w:tcMar>
              <w:top w:w="0" w:type="dxa"/>
              <w:bottom w:w="0" w:type="dxa"/>
            </w:tcMar>
            <w:vAlign w:val="center"/>
          </w:tcPr>
          <w:p w14:paraId="4A3D8633" w14:textId="77777777" w:rsidR="00975DC5"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355224A6" w14:textId="77777777" w:rsidR="00975DC5" w:rsidRDefault="00000000">
            <w:pPr>
              <w:keepNext/>
              <w:keepLines/>
              <w:spacing w:after="0" w:line="240" w:lineRule="auto"/>
            </w:pPr>
            <w:r>
              <w:rPr>
                <w:sz w:val="18"/>
              </w:rPr>
              <w:t>65</w:t>
            </w:r>
          </w:p>
        </w:tc>
        <w:tc>
          <w:tcPr>
            <w:tcW w:w="1860" w:type="dxa"/>
            <w:tcMar>
              <w:top w:w="0" w:type="dxa"/>
              <w:bottom w:w="0" w:type="dxa"/>
            </w:tcMar>
            <w:vAlign w:val="center"/>
          </w:tcPr>
          <w:p w14:paraId="2B54D124" w14:textId="77777777" w:rsidR="00975DC5" w:rsidRDefault="00000000">
            <w:pPr>
              <w:keepNext/>
              <w:keepLines/>
              <w:spacing w:after="0" w:line="240" w:lineRule="auto"/>
              <w:jc w:val="right"/>
            </w:pPr>
            <w:r>
              <w:rPr>
                <w:sz w:val="18"/>
              </w:rPr>
              <w:t>90.484,19</w:t>
            </w:r>
          </w:p>
        </w:tc>
        <w:tc>
          <w:tcPr>
            <w:tcW w:w="1860" w:type="dxa"/>
            <w:tcMar>
              <w:top w:w="0" w:type="dxa"/>
              <w:bottom w:w="0" w:type="dxa"/>
            </w:tcMar>
            <w:vAlign w:val="center"/>
          </w:tcPr>
          <w:p w14:paraId="6FE82DF0" w14:textId="77777777" w:rsidR="00975DC5" w:rsidRDefault="00000000">
            <w:pPr>
              <w:keepNext/>
              <w:keepLines/>
              <w:spacing w:after="0" w:line="240" w:lineRule="auto"/>
              <w:jc w:val="right"/>
            </w:pPr>
            <w:r>
              <w:rPr>
                <w:sz w:val="18"/>
              </w:rPr>
              <w:t>211.362,10</w:t>
            </w:r>
          </w:p>
        </w:tc>
        <w:tc>
          <w:tcPr>
            <w:tcW w:w="700" w:type="dxa"/>
            <w:tcMar>
              <w:top w:w="0" w:type="dxa"/>
              <w:bottom w:w="0" w:type="dxa"/>
            </w:tcMar>
            <w:vAlign w:val="center"/>
          </w:tcPr>
          <w:p w14:paraId="3937448D" w14:textId="77777777" w:rsidR="00975DC5" w:rsidRDefault="00000000">
            <w:pPr>
              <w:keepNext/>
              <w:keepLines/>
              <w:spacing w:after="0" w:line="240" w:lineRule="auto"/>
              <w:jc w:val="right"/>
            </w:pPr>
            <w:r>
              <w:rPr>
                <w:sz w:val="18"/>
              </w:rPr>
              <w:t>233,6</w:t>
            </w:r>
          </w:p>
        </w:tc>
      </w:tr>
    </w:tbl>
    <w:p w14:paraId="77C60488" w14:textId="77777777" w:rsidR="00975DC5" w:rsidRDefault="00975DC5">
      <w:pPr>
        <w:spacing w:after="0"/>
      </w:pPr>
    </w:p>
    <w:p w14:paraId="02A8D769" w14:textId="77777777" w:rsidR="00975DC5" w:rsidRDefault="00000000">
      <w:r>
        <w:t>Značajno povećanje u odnosu na prethodno razdoblje evidentirano je na prihodima od upravnih i administrativnih pristojbi, pristojbi po posebnim propisima i naknada, a rezultat je najvećim dijelom uplate doprinosa za šume tijekom 2025. godine, dok su u 2024. godini takve uplate izostale.</w:t>
      </w:r>
    </w:p>
    <w:p w14:paraId="225C9051" w14:textId="77777777" w:rsidR="00975DC5" w:rsidRDefault="00975DC5"/>
    <w:p w14:paraId="54193D9B" w14:textId="77777777" w:rsidR="00975DC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062A40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5D4D68"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6F706B"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385FFC"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71958"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241F4B"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D16C08" w14:textId="77777777" w:rsidR="00975DC5" w:rsidRDefault="00000000">
            <w:pPr>
              <w:keepNext/>
              <w:keepLines/>
              <w:spacing w:after="0" w:line="240" w:lineRule="auto"/>
              <w:jc w:val="center"/>
            </w:pPr>
            <w:r>
              <w:rPr>
                <w:b/>
                <w:sz w:val="18"/>
              </w:rPr>
              <w:t>Indeks (%)</w:t>
            </w:r>
          </w:p>
        </w:tc>
      </w:tr>
      <w:tr w:rsidR="00975DC5" w14:paraId="49DD7C39" w14:textId="77777777">
        <w:tblPrEx>
          <w:tblCellMar>
            <w:top w:w="0" w:type="dxa"/>
            <w:bottom w:w="0" w:type="dxa"/>
          </w:tblCellMar>
        </w:tblPrEx>
        <w:trPr>
          <w:cantSplit/>
          <w:trHeight w:val="560"/>
        </w:trPr>
        <w:tc>
          <w:tcPr>
            <w:tcW w:w="700" w:type="dxa"/>
            <w:tcMar>
              <w:top w:w="0" w:type="dxa"/>
              <w:bottom w:w="0" w:type="dxa"/>
            </w:tcMar>
            <w:vAlign w:val="center"/>
          </w:tcPr>
          <w:p w14:paraId="1E04E6C5" w14:textId="77777777" w:rsidR="00975DC5" w:rsidRDefault="00000000">
            <w:pPr>
              <w:keepNext/>
              <w:keepLines/>
              <w:spacing w:after="0" w:line="240" w:lineRule="auto"/>
            </w:pPr>
            <w:r>
              <w:rPr>
                <w:sz w:val="18"/>
              </w:rPr>
              <w:t>3</w:t>
            </w:r>
          </w:p>
        </w:tc>
        <w:tc>
          <w:tcPr>
            <w:tcW w:w="3180" w:type="dxa"/>
            <w:tcMar>
              <w:top w:w="0" w:type="dxa"/>
              <w:bottom w:w="0" w:type="dxa"/>
            </w:tcMar>
            <w:vAlign w:val="center"/>
          </w:tcPr>
          <w:p w14:paraId="3D15D56E" w14:textId="77777777" w:rsidR="00975DC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9A9A9D7" w14:textId="77777777" w:rsidR="00975DC5" w:rsidRDefault="00000000">
            <w:pPr>
              <w:keepNext/>
              <w:keepLines/>
              <w:spacing w:after="0" w:line="240" w:lineRule="auto"/>
            </w:pPr>
            <w:r>
              <w:rPr>
                <w:sz w:val="18"/>
              </w:rPr>
              <w:t>3</w:t>
            </w:r>
          </w:p>
        </w:tc>
        <w:tc>
          <w:tcPr>
            <w:tcW w:w="1860" w:type="dxa"/>
            <w:tcMar>
              <w:top w:w="0" w:type="dxa"/>
              <w:bottom w:w="0" w:type="dxa"/>
            </w:tcMar>
            <w:vAlign w:val="center"/>
          </w:tcPr>
          <w:p w14:paraId="4CE55E84" w14:textId="77777777" w:rsidR="00975DC5" w:rsidRDefault="00000000">
            <w:pPr>
              <w:keepNext/>
              <w:keepLines/>
              <w:spacing w:after="0" w:line="240" w:lineRule="auto"/>
              <w:jc w:val="right"/>
            </w:pPr>
            <w:r>
              <w:rPr>
                <w:sz w:val="18"/>
              </w:rPr>
              <w:t>2.437.146,20</w:t>
            </w:r>
          </w:p>
        </w:tc>
        <w:tc>
          <w:tcPr>
            <w:tcW w:w="1860" w:type="dxa"/>
            <w:tcMar>
              <w:top w:w="0" w:type="dxa"/>
              <w:bottom w:w="0" w:type="dxa"/>
            </w:tcMar>
            <w:vAlign w:val="center"/>
          </w:tcPr>
          <w:p w14:paraId="1667DDC0" w14:textId="77777777" w:rsidR="00975DC5" w:rsidRDefault="00000000">
            <w:pPr>
              <w:keepNext/>
              <w:keepLines/>
              <w:spacing w:after="0" w:line="240" w:lineRule="auto"/>
              <w:jc w:val="right"/>
            </w:pPr>
            <w:r>
              <w:rPr>
                <w:sz w:val="18"/>
              </w:rPr>
              <w:t>2.679.077,62</w:t>
            </w:r>
          </w:p>
        </w:tc>
        <w:tc>
          <w:tcPr>
            <w:tcW w:w="700" w:type="dxa"/>
            <w:tcMar>
              <w:top w:w="0" w:type="dxa"/>
              <w:bottom w:w="0" w:type="dxa"/>
            </w:tcMar>
            <w:vAlign w:val="center"/>
          </w:tcPr>
          <w:p w14:paraId="29B2C287" w14:textId="77777777" w:rsidR="00975DC5" w:rsidRDefault="00000000">
            <w:pPr>
              <w:keepNext/>
              <w:keepLines/>
              <w:spacing w:after="0" w:line="240" w:lineRule="auto"/>
              <w:jc w:val="right"/>
            </w:pPr>
            <w:r>
              <w:rPr>
                <w:sz w:val="18"/>
              </w:rPr>
              <w:t>109,9</w:t>
            </w:r>
          </w:p>
        </w:tc>
      </w:tr>
    </w:tbl>
    <w:p w14:paraId="50F385FA" w14:textId="77777777" w:rsidR="00975DC5" w:rsidRDefault="00975DC5">
      <w:pPr>
        <w:spacing w:after="0"/>
      </w:pPr>
    </w:p>
    <w:p w14:paraId="2967978C" w14:textId="77777777" w:rsidR="00975DC5" w:rsidRDefault="00000000">
      <w:r>
        <w:t>Ukupni rashodi poslovanja Općine Tovarnik na dan 31.12.2025. iznose 2.679.077,62 eura, što predstavlja povećanje od 9,9% u odnosu na prethodnu godinu.</w:t>
      </w:r>
    </w:p>
    <w:p w14:paraId="062D9387" w14:textId="77777777" w:rsidR="00975DC5" w:rsidRDefault="00975DC5"/>
    <w:p w14:paraId="1D816854" w14:textId="77777777" w:rsidR="00975DC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153FC4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8C2088"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C8B5DC"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F57217"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26CCE7"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8F7DA8"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D4514D" w14:textId="77777777" w:rsidR="00975DC5" w:rsidRDefault="00000000">
            <w:pPr>
              <w:keepNext/>
              <w:keepLines/>
              <w:spacing w:after="0" w:line="240" w:lineRule="auto"/>
              <w:jc w:val="center"/>
            </w:pPr>
            <w:r>
              <w:rPr>
                <w:b/>
                <w:sz w:val="18"/>
              </w:rPr>
              <w:t>Indeks (%)</w:t>
            </w:r>
          </w:p>
        </w:tc>
      </w:tr>
      <w:tr w:rsidR="00975DC5" w14:paraId="20820A29" w14:textId="77777777">
        <w:tblPrEx>
          <w:tblCellMar>
            <w:top w:w="0" w:type="dxa"/>
            <w:bottom w:w="0" w:type="dxa"/>
          </w:tblCellMar>
        </w:tblPrEx>
        <w:trPr>
          <w:cantSplit/>
          <w:trHeight w:val="560"/>
        </w:trPr>
        <w:tc>
          <w:tcPr>
            <w:tcW w:w="700" w:type="dxa"/>
            <w:tcMar>
              <w:top w:w="0" w:type="dxa"/>
              <w:bottom w:w="0" w:type="dxa"/>
            </w:tcMar>
            <w:vAlign w:val="center"/>
          </w:tcPr>
          <w:p w14:paraId="4A604293" w14:textId="77777777" w:rsidR="00975DC5" w:rsidRDefault="00000000">
            <w:pPr>
              <w:keepNext/>
              <w:keepLines/>
              <w:spacing w:after="0" w:line="240" w:lineRule="auto"/>
            </w:pPr>
            <w:r>
              <w:rPr>
                <w:sz w:val="18"/>
              </w:rPr>
              <w:t>31</w:t>
            </w:r>
          </w:p>
        </w:tc>
        <w:tc>
          <w:tcPr>
            <w:tcW w:w="3180" w:type="dxa"/>
            <w:tcMar>
              <w:top w:w="0" w:type="dxa"/>
              <w:bottom w:w="0" w:type="dxa"/>
            </w:tcMar>
            <w:vAlign w:val="center"/>
          </w:tcPr>
          <w:p w14:paraId="69E6D03A" w14:textId="77777777" w:rsidR="00975DC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6CF1E35" w14:textId="77777777" w:rsidR="00975DC5" w:rsidRDefault="00000000">
            <w:pPr>
              <w:keepNext/>
              <w:keepLines/>
              <w:spacing w:after="0" w:line="240" w:lineRule="auto"/>
            </w:pPr>
            <w:r>
              <w:rPr>
                <w:sz w:val="18"/>
              </w:rPr>
              <w:t>31</w:t>
            </w:r>
          </w:p>
        </w:tc>
        <w:tc>
          <w:tcPr>
            <w:tcW w:w="1860" w:type="dxa"/>
            <w:tcMar>
              <w:top w:w="0" w:type="dxa"/>
              <w:bottom w:w="0" w:type="dxa"/>
            </w:tcMar>
            <w:vAlign w:val="center"/>
          </w:tcPr>
          <w:p w14:paraId="62C6A8A0" w14:textId="77777777" w:rsidR="00975DC5" w:rsidRDefault="00000000">
            <w:pPr>
              <w:keepNext/>
              <w:keepLines/>
              <w:spacing w:after="0" w:line="240" w:lineRule="auto"/>
              <w:jc w:val="right"/>
            </w:pPr>
            <w:r>
              <w:rPr>
                <w:sz w:val="18"/>
              </w:rPr>
              <w:t>567.746,90</w:t>
            </w:r>
          </w:p>
        </w:tc>
        <w:tc>
          <w:tcPr>
            <w:tcW w:w="1860" w:type="dxa"/>
            <w:tcMar>
              <w:top w:w="0" w:type="dxa"/>
              <w:bottom w:w="0" w:type="dxa"/>
            </w:tcMar>
            <w:vAlign w:val="center"/>
          </w:tcPr>
          <w:p w14:paraId="7A3FE600" w14:textId="77777777" w:rsidR="00975DC5" w:rsidRDefault="00000000">
            <w:pPr>
              <w:keepNext/>
              <w:keepLines/>
              <w:spacing w:after="0" w:line="240" w:lineRule="auto"/>
              <w:jc w:val="right"/>
            </w:pPr>
            <w:r>
              <w:rPr>
                <w:sz w:val="18"/>
              </w:rPr>
              <w:t>870.776,74</w:t>
            </w:r>
          </w:p>
        </w:tc>
        <w:tc>
          <w:tcPr>
            <w:tcW w:w="700" w:type="dxa"/>
            <w:tcMar>
              <w:top w:w="0" w:type="dxa"/>
              <w:bottom w:w="0" w:type="dxa"/>
            </w:tcMar>
            <w:vAlign w:val="center"/>
          </w:tcPr>
          <w:p w14:paraId="00679314" w14:textId="77777777" w:rsidR="00975DC5" w:rsidRDefault="00000000">
            <w:pPr>
              <w:keepNext/>
              <w:keepLines/>
              <w:spacing w:after="0" w:line="240" w:lineRule="auto"/>
              <w:jc w:val="right"/>
            </w:pPr>
            <w:r>
              <w:rPr>
                <w:sz w:val="18"/>
              </w:rPr>
              <w:t>153,4</w:t>
            </w:r>
          </w:p>
        </w:tc>
      </w:tr>
    </w:tbl>
    <w:p w14:paraId="37CC7A99" w14:textId="77777777" w:rsidR="00975DC5" w:rsidRDefault="00975DC5">
      <w:pPr>
        <w:spacing w:after="0"/>
      </w:pPr>
    </w:p>
    <w:p w14:paraId="3A880E2F" w14:textId="77777777" w:rsidR="00975DC5" w:rsidRDefault="00000000">
      <w:r>
        <w:lastRenderedPageBreak/>
        <w:t>Značajno povećanje u odnosu na prethodno razdoblje evidentirano je na rashodima za zaposlene, a rezultat je kontinuiranog rasta plaća tijekom 2025. godine te povećanja broja zaposlenih.</w:t>
      </w:r>
    </w:p>
    <w:p w14:paraId="1094E94F" w14:textId="77777777" w:rsidR="00975DC5" w:rsidRDefault="00975DC5"/>
    <w:p w14:paraId="3BC73312" w14:textId="77777777" w:rsidR="00975DC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43850F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FF1C4B"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ED5285"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839A06"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B8ACA0"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C344CD"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333BAC" w14:textId="77777777" w:rsidR="00975DC5" w:rsidRDefault="00000000">
            <w:pPr>
              <w:keepNext/>
              <w:keepLines/>
              <w:spacing w:after="0" w:line="240" w:lineRule="auto"/>
              <w:jc w:val="center"/>
            </w:pPr>
            <w:r>
              <w:rPr>
                <w:b/>
                <w:sz w:val="18"/>
              </w:rPr>
              <w:t>Indeks (%)</w:t>
            </w:r>
          </w:p>
        </w:tc>
      </w:tr>
      <w:tr w:rsidR="00975DC5" w14:paraId="06E60573" w14:textId="77777777">
        <w:tblPrEx>
          <w:tblCellMar>
            <w:top w:w="0" w:type="dxa"/>
            <w:bottom w:w="0" w:type="dxa"/>
          </w:tblCellMar>
        </w:tblPrEx>
        <w:trPr>
          <w:cantSplit/>
          <w:trHeight w:val="560"/>
        </w:trPr>
        <w:tc>
          <w:tcPr>
            <w:tcW w:w="700" w:type="dxa"/>
            <w:tcMar>
              <w:top w:w="0" w:type="dxa"/>
              <w:bottom w:w="0" w:type="dxa"/>
            </w:tcMar>
            <w:vAlign w:val="center"/>
          </w:tcPr>
          <w:p w14:paraId="62A11536" w14:textId="77777777" w:rsidR="00975DC5" w:rsidRDefault="00000000">
            <w:pPr>
              <w:keepNext/>
              <w:keepLines/>
              <w:spacing w:after="0" w:line="240" w:lineRule="auto"/>
            </w:pPr>
            <w:r>
              <w:rPr>
                <w:sz w:val="18"/>
              </w:rPr>
              <w:t>32</w:t>
            </w:r>
          </w:p>
        </w:tc>
        <w:tc>
          <w:tcPr>
            <w:tcW w:w="3180" w:type="dxa"/>
            <w:tcMar>
              <w:top w:w="0" w:type="dxa"/>
              <w:bottom w:w="0" w:type="dxa"/>
            </w:tcMar>
            <w:vAlign w:val="center"/>
          </w:tcPr>
          <w:p w14:paraId="58B79E5E" w14:textId="77777777" w:rsidR="00975DC5"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7436F9E" w14:textId="77777777" w:rsidR="00975DC5" w:rsidRDefault="00000000">
            <w:pPr>
              <w:keepNext/>
              <w:keepLines/>
              <w:spacing w:after="0" w:line="240" w:lineRule="auto"/>
            </w:pPr>
            <w:r>
              <w:rPr>
                <w:sz w:val="18"/>
              </w:rPr>
              <w:t>32</w:t>
            </w:r>
          </w:p>
        </w:tc>
        <w:tc>
          <w:tcPr>
            <w:tcW w:w="1860" w:type="dxa"/>
            <w:tcMar>
              <w:top w:w="0" w:type="dxa"/>
              <w:bottom w:w="0" w:type="dxa"/>
            </w:tcMar>
            <w:vAlign w:val="center"/>
          </w:tcPr>
          <w:p w14:paraId="111DB05B" w14:textId="77777777" w:rsidR="00975DC5" w:rsidRDefault="00000000">
            <w:pPr>
              <w:keepNext/>
              <w:keepLines/>
              <w:spacing w:after="0" w:line="240" w:lineRule="auto"/>
              <w:jc w:val="right"/>
            </w:pPr>
            <w:r>
              <w:rPr>
                <w:sz w:val="18"/>
              </w:rPr>
              <w:t>1.088.978,54</w:t>
            </w:r>
          </w:p>
        </w:tc>
        <w:tc>
          <w:tcPr>
            <w:tcW w:w="1860" w:type="dxa"/>
            <w:tcMar>
              <w:top w:w="0" w:type="dxa"/>
              <w:bottom w:w="0" w:type="dxa"/>
            </w:tcMar>
            <w:vAlign w:val="center"/>
          </w:tcPr>
          <w:p w14:paraId="3B035020" w14:textId="77777777" w:rsidR="00975DC5" w:rsidRDefault="00000000">
            <w:pPr>
              <w:keepNext/>
              <w:keepLines/>
              <w:spacing w:after="0" w:line="240" w:lineRule="auto"/>
              <w:jc w:val="right"/>
            </w:pPr>
            <w:r>
              <w:rPr>
                <w:sz w:val="18"/>
              </w:rPr>
              <w:t>924.518,74</w:t>
            </w:r>
          </w:p>
        </w:tc>
        <w:tc>
          <w:tcPr>
            <w:tcW w:w="700" w:type="dxa"/>
            <w:tcMar>
              <w:top w:w="0" w:type="dxa"/>
              <w:bottom w:w="0" w:type="dxa"/>
            </w:tcMar>
            <w:vAlign w:val="center"/>
          </w:tcPr>
          <w:p w14:paraId="0925B6E4" w14:textId="77777777" w:rsidR="00975DC5" w:rsidRDefault="00000000">
            <w:pPr>
              <w:keepNext/>
              <w:keepLines/>
              <w:spacing w:after="0" w:line="240" w:lineRule="auto"/>
              <w:jc w:val="right"/>
            </w:pPr>
            <w:r>
              <w:rPr>
                <w:sz w:val="18"/>
              </w:rPr>
              <w:t>84,9</w:t>
            </w:r>
          </w:p>
        </w:tc>
      </w:tr>
    </w:tbl>
    <w:p w14:paraId="416BBE3B" w14:textId="77777777" w:rsidR="00975DC5" w:rsidRDefault="00975DC5">
      <w:pPr>
        <w:spacing w:after="0"/>
      </w:pPr>
    </w:p>
    <w:p w14:paraId="5D6DB2C7" w14:textId="77777777" w:rsidR="00975DC5" w:rsidRDefault="00000000">
      <w:r>
        <w:t>Najveći udio u ukupnim rashodima zauzimaju materijalni rashodi. Ovi rashodi obuhvaćaju: naknade troškova zaposlenima, rashode za materijal i energiju, rashode za usluge i ostale nespomenute rashode poslovanja. U odnosu na prethodno razdoblje smanjeni su za oko 16%.</w:t>
      </w:r>
    </w:p>
    <w:p w14:paraId="547051DC" w14:textId="77777777" w:rsidR="00975DC5" w:rsidRDefault="00975DC5"/>
    <w:p w14:paraId="74014F64" w14:textId="77777777" w:rsidR="00975DC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7B214C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4FB3CC"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B19EB6"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225A7F"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F6A4B0"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18B2A8"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8A8BC8" w14:textId="77777777" w:rsidR="00975DC5" w:rsidRDefault="00000000">
            <w:pPr>
              <w:keepNext/>
              <w:keepLines/>
              <w:spacing w:after="0" w:line="240" w:lineRule="auto"/>
              <w:jc w:val="center"/>
            </w:pPr>
            <w:r>
              <w:rPr>
                <w:b/>
                <w:sz w:val="18"/>
              </w:rPr>
              <w:t>Indeks (%)</w:t>
            </w:r>
          </w:p>
        </w:tc>
      </w:tr>
      <w:tr w:rsidR="00975DC5" w14:paraId="1F33588F" w14:textId="77777777">
        <w:tblPrEx>
          <w:tblCellMar>
            <w:top w:w="0" w:type="dxa"/>
            <w:bottom w:w="0" w:type="dxa"/>
          </w:tblCellMar>
        </w:tblPrEx>
        <w:trPr>
          <w:cantSplit/>
          <w:trHeight w:val="560"/>
        </w:trPr>
        <w:tc>
          <w:tcPr>
            <w:tcW w:w="700" w:type="dxa"/>
            <w:tcMar>
              <w:top w:w="0" w:type="dxa"/>
              <w:bottom w:w="0" w:type="dxa"/>
            </w:tcMar>
            <w:vAlign w:val="center"/>
          </w:tcPr>
          <w:p w14:paraId="47884F16" w14:textId="77777777" w:rsidR="00975DC5" w:rsidRDefault="00000000">
            <w:pPr>
              <w:keepNext/>
              <w:keepLines/>
              <w:spacing w:after="0" w:line="240" w:lineRule="auto"/>
            </w:pPr>
            <w:r>
              <w:rPr>
                <w:sz w:val="18"/>
              </w:rPr>
              <w:t>34</w:t>
            </w:r>
          </w:p>
        </w:tc>
        <w:tc>
          <w:tcPr>
            <w:tcW w:w="3180" w:type="dxa"/>
            <w:tcMar>
              <w:top w:w="0" w:type="dxa"/>
              <w:bottom w:w="0" w:type="dxa"/>
            </w:tcMar>
            <w:vAlign w:val="center"/>
          </w:tcPr>
          <w:p w14:paraId="534ED3BC" w14:textId="77777777" w:rsidR="00975DC5"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121DBDD9" w14:textId="77777777" w:rsidR="00975DC5" w:rsidRDefault="00000000">
            <w:pPr>
              <w:keepNext/>
              <w:keepLines/>
              <w:spacing w:after="0" w:line="240" w:lineRule="auto"/>
            </w:pPr>
            <w:r>
              <w:rPr>
                <w:sz w:val="18"/>
              </w:rPr>
              <w:t>34</w:t>
            </w:r>
          </w:p>
        </w:tc>
        <w:tc>
          <w:tcPr>
            <w:tcW w:w="1860" w:type="dxa"/>
            <w:tcMar>
              <w:top w:w="0" w:type="dxa"/>
              <w:bottom w:w="0" w:type="dxa"/>
            </w:tcMar>
            <w:vAlign w:val="center"/>
          </w:tcPr>
          <w:p w14:paraId="1A08EC8D" w14:textId="77777777" w:rsidR="00975DC5" w:rsidRDefault="00000000">
            <w:pPr>
              <w:keepNext/>
              <w:keepLines/>
              <w:spacing w:after="0" w:line="240" w:lineRule="auto"/>
              <w:jc w:val="right"/>
            </w:pPr>
            <w:r>
              <w:rPr>
                <w:sz w:val="18"/>
              </w:rPr>
              <w:t>6.530,34</w:t>
            </w:r>
          </w:p>
        </w:tc>
        <w:tc>
          <w:tcPr>
            <w:tcW w:w="1860" w:type="dxa"/>
            <w:tcMar>
              <w:top w:w="0" w:type="dxa"/>
              <w:bottom w:w="0" w:type="dxa"/>
            </w:tcMar>
            <w:vAlign w:val="center"/>
          </w:tcPr>
          <w:p w14:paraId="636791F8" w14:textId="77777777" w:rsidR="00975DC5" w:rsidRDefault="00000000">
            <w:pPr>
              <w:keepNext/>
              <w:keepLines/>
              <w:spacing w:after="0" w:line="240" w:lineRule="auto"/>
              <w:jc w:val="right"/>
            </w:pPr>
            <w:r>
              <w:rPr>
                <w:sz w:val="18"/>
              </w:rPr>
              <w:t>14.332,15</w:t>
            </w:r>
          </w:p>
        </w:tc>
        <w:tc>
          <w:tcPr>
            <w:tcW w:w="700" w:type="dxa"/>
            <w:tcMar>
              <w:top w:w="0" w:type="dxa"/>
              <w:bottom w:w="0" w:type="dxa"/>
            </w:tcMar>
            <w:vAlign w:val="center"/>
          </w:tcPr>
          <w:p w14:paraId="1757D281" w14:textId="77777777" w:rsidR="00975DC5" w:rsidRDefault="00000000">
            <w:pPr>
              <w:keepNext/>
              <w:keepLines/>
              <w:spacing w:after="0" w:line="240" w:lineRule="auto"/>
              <w:jc w:val="right"/>
            </w:pPr>
            <w:r>
              <w:rPr>
                <w:sz w:val="18"/>
              </w:rPr>
              <w:t>219,5</w:t>
            </w:r>
          </w:p>
        </w:tc>
      </w:tr>
    </w:tbl>
    <w:p w14:paraId="0FD93A8C" w14:textId="77777777" w:rsidR="00975DC5" w:rsidRDefault="00975DC5">
      <w:pPr>
        <w:spacing w:after="0"/>
      </w:pPr>
    </w:p>
    <w:p w14:paraId="1BA7C31C" w14:textId="77777777" w:rsidR="00975DC5" w:rsidRDefault="00000000">
      <w:r>
        <w:t>Financijski rashodi su povećani u odnosu na prethodno razdoblje za 19,5%, a rezultat su obračuna kamata za kratkoročni revolving kredit ugovoren krajem 2024. i krajem 2025. godine.</w:t>
      </w:r>
    </w:p>
    <w:p w14:paraId="0DF4D022" w14:textId="77777777" w:rsidR="00975DC5" w:rsidRDefault="00975DC5"/>
    <w:p w14:paraId="03E15C5B" w14:textId="77777777" w:rsidR="00975DC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257D2C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A0C4C7"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AA0F8F"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23D829"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28766E"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545C7D"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6CEAEC" w14:textId="77777777" w:rsidR="00975DC5" w:rsidRDefault="00000000">
            <w:pPr>
              <w:keepNext/>
              <w:keepLines/>
              <w:spacing w:after="0" w:line="240" w:lineRule="auto"/>
              <w:jc w:val="center"/>
            </w:pPr>
            <w:r>
              <w:rPr>
                <w:b/>
                <w:sz w:val="18"/>
              </w:rPr>
              <w:t>Indeks (%)</w:t>
            </w:r>
          </w:p>
        </w:tc>
      </w:tr>
      <w:tr w:rsidR="00975DC5" w14:paraId="16C30E13" w14:textId="77777777">
        <w:tblPrEx>
          <w:tblCellMar>
            <w:top w:w="0" w:type="dxa"/>
            <w:bottom w:w="0" w:type="dxa"/>
          </w:tblCellMar>
        </w:tblPrEx>
        <w:trPr>
          <w:cantSplit/>
          <w:trHeight w:val="560"/>
        </w:trPr>
        <w:tc>
          <w:tcPr>
            <w:tcW w:w="700" w:type="dxa"/>
            <w:tcMar>
              <w:top w:w="0" w:type="dxa"/>
              <w:bottom w:w="0" w:type="dxa"/>
            </w:tcMar>
            <w:vAlign w:val="center"/>
          </w:tcPr>
          <w:p w14:paraId="4E1F84B5" w14:textId="77777777" w:rsidR="00975DC5" w:rsidRDefault="00000000">
            <w:pPr>
              <w:keepNext/>
              <w:keepLines/>
              <w:spacing w:after="0" w:line="240" w:lineRule="auto"/>
            </w:pPr>
            <w:r>
              <w:rPr>
                <w:sz w:val="18"/>
              </w:rPr>
              <w:t>35</w:t>
            </w:r>
          </w:p>
        </w:tc>
        <w:tc>
          <w:tcPr>
            <w:tcW w:w="3180" w:type="dxa"/>
            <w:tcMar>
              <w:top w:w="0" w:type="dxa"/>
              <w:bottom w:w="0" w:type="dxa"/>
            </w:tcMar>
            <w:vAlign w:val="center"/>
          </w:tcPr>
          <w:p w14:paraId="2A32E56D" w14:textId="77777777" w:rsidR="00975DC5"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7D985FFC" w14:textId="77777777" w:rsidR="00975DC5" w:rsidRDefault="00000000">
            <w:pPr>
              <w:keepNext/>
              <w:keepLines/>
              <w:spacing w:after="0" w:line="240" w:lineRule="auto"/>
            </w:pPr>
            <w:r>
              <w:rPr>
                <w:sz w:val="18"/>
              </w:rPr>
              <w:t>35</w:t>
            </w:r>
          </w:p>
        </w:tc>
        <w:tc>
          <w:tcPr>
            <w:tcW w:w="1860" w:type="dxa"/>
            <w:tcMar>
              <w:top w:w="0" w:type="dxa"/>
              <w:bottom w:w="0" w:type="dxa"/>
            </w:tcMar>
            <w:vAlign w:val="center"/>
          </w:tcPr>
          <w:p w14:paraId="59A73B22" w14:textId="77777777" w:rsidR="00975DC5" w:rsidRDefault="00000000">
            <w:pPr>
              <w:keepNext/>
              <w:keepLines/>
              <w:spacing w:after="0" w:line="240" w:lineRule="auto"/>
              <w:jc w:val="right"/>
            </w:pPr>
            <w:r>
              <w:rPr>
                <w:sz w:val="18"/>
              </w:rPr>
              <w:t>103.578,77</w:t>
            </w:r>
          </w:p>
        </w:tc>
        <w:tc>
          <w:tcPr>
            <w:tcW w:w="1860" w:type="dxa"/>
            <w:tcMar>
              <w:top w:w="0" w:type="dxa"/>
              <w:bottom w:w="0" w:type="dxa"/>
            </w:tcMar>
            <w:vAlign w:val="center"/>
          </w:tcPr>
          <w:p w14:paraId="7F947977" w14:textId="77777777" w:rsidR="00975DC5" w:rsidRDefault="00000000">
            <w:pPr>
              <w:keepNext/>
              <w:keepLines/>
              <w:spacing w:after="0" w:line="240" w:lineRule="auto"/>
              <w:jc w:val="right"/>
            </w:pPr>
            <w:r>
              <w:rPr>
                <w:sz w:val="18"/>
              </w:rPr>
              <w:t>123.200,73</w:t>
            </w:r>
          </w:p>
        </w:tc>
        <w:tc>
          <w:tcPr>
            <w:tcW w:w="700" w:type="dxa"/>
            <w:tcMar>
              <w:top w:w="0" w:type="dxa"/>
              <w:bottom w:w="0" w:type="dxa"/>
            </w:tcMar>
            <w:vAlign w:val="center"/>
          </w:tcPr>
          <w:p w14:paraId="7E04BC91" w14:textId="77777777" w:rsidR="00975DC5" w:rsidRDefault="00000000">
            <w:pPr>
              <w:keepNext/>
              <w:keepLines/>
              <w:spacing w:after="0" w:line="240" w:lineRule="auto"/>
              <w:jc w:val="right"/>
            </w:pPr>
            <w:r>
              <w:rPr>
                <w:sz w:val="18"/>
              </w:rPr>
              <w:t>118,9</w:t>
            </w:r>
          </w:p>
        </w:tc>
      </w:tr>
    </w:tbl>
    <w:p w14:paraId="53FFAB12" w14:textId="77777777" w:rsidR="00975DC5" w:rsidRDefault="00975DC5">
      <w:pPr>
        <w:spacing w:after="0"/>
      </w:pPr>
    </w:p>
    <w:p w14:paraId="1252A5E9" w14:textId="77777777" w:rsidR="00975DC5" w:rsidRDefault="00000000">
      <w:r>
        <w:t xml:space="preserve">Subvencije poljoprivrednicima i obrtnicima su u odnosu na prethodno razdoblje povećane za 18,9% temeljem Programa za razvoj poljoprivredne proizvodnje i poduzetništva na području Općine Tovarnik i Uredbe </w:t>
      </w:r>
      <w:r>
        <w:rPr>
          <w:i/>
        </w:rPr>
        <w:t xml:space="preserve">de </w:t>
      </w:r>
      <w:proofErr w:type="spellStart"/>
      <w:r>
        <w:rPr>
          <w:i/>
        </w:rPr>
        <w:t>minimis</w:t>
      </w:r>
      <w:proofErr w:type="spellEnd"/>
      <w:r>
        <w:t>.</w:t>
      </w:r>
    </w:p>
    <w:p w14:paraId="07B3A35B" w14:textId="77777777" w:rsidR="00975DC5" w:rsidRDefault="00975DC5"/>
    <w:p w14:paraId="118E8705" w14:textId="77777777" w:rsidR="00975DC5"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7D3318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DE7DB2"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88D5F4"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84C5A4"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9EC971"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A2DBFB"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DDE8A7" w14:textId="77777777" w:rsidR="00975DC5" w:rsidRDefault="00000000">
            <w:pPr>
              <w:keepNext/>
              <w:keepLines/>
              <w:spacing w:after="0" w:line="240" w:lineRule="auto"/>
              <w:jc w:val="center"/>
            </w:pPr>
            <w:r>
              <w:rPr>
                <w:b/>
                <w:sz w:val="18"/>
              </w:rPr>
              <w:t>Indeks (%)</w:t>
            </w:r>
          </w:p>
        </w:tc>
      </w:tr>
      <w:tr w:rsidR="00975DC5" w14:paraId="3E446A3F" w14:textId="77777777">
        <w:tblPrEx>
          <w:tblCellMar>
            <w:top w:w="0" w:type="dxa"/>
            <w:bottom w:w="0" w:type="dxa"/>
          </w:tblCellMar>
        </w:tblPrEx>
        <w:trPr>
          <w:cantSplit/>
          <w:trHeight w:val="560"/>
        </w:trPr>
        <w:tc>
          <w:tcPr>
            <w:tcW w:w="700" w:type="dxa"/>
            <w:tcMar>
              <w:top w:w="0" w:type="dxa"/>
              <w:bottom w:w="0" w:type="dxa"/>
            </w:tcMar>
            <w:vAlign w:val="center"/>
          </w:tcPr>
          <w:p w14:paraId="2C419072" w14:textId="77777777" w:rsidR="00975DC5" w:rsidRDefault="00000000">
            <w:pPr>
              <w:keepNext/>
              <w:keepLines/>
              <w:spacing w:after="0" w:line="240" w:lineRule="auto"/>
            </w:pPr>
            <w:r>
              <w:rPr>
                <w:sz w:val="18"/>
              </w:rPr>
              <w:t>36</w:t>
            </w:r>
          </w:p>
        </w:tc>
        <w:tc>
          <w:tcPr>
            <w:tcW w:w="3180" w:type="dxa"/>
            <w:tcMar>
              <w:top w:w="0" w:type="dxa"/>
              <w:bottom w:w="0" w:type="dxa"/>
            </w:tcMar>
            <w:vAlign w:val="center"/>
          </w:tcPr>
          <w:p w14:paraId="6A4F3A4E" w14:textId="77777777" w:rsidR="00975DC5"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7C7CBAD1" w14:textId="77777777" w:rsidR="00975DC5" w:rsidRDefault="00000000">
            <w:pPr>
              <w:keepNext/>
              <w:keepLines/>
              <w:spacing w:after="0" w:line="240" w:lineRule="auto"/>
            </w:pPr>
            <w:r>
              <w:rPr>
                <w:sz w:val="18"/>
              </w:rPr>
              <w:t>36</w:t>
            </w:r>
          </w:p>
        </w:tc>
        <w:tc>
          <w:tcPr>
            <w:tcW w:w="1860" w:type="dxa"/>
            <w:tcMar>
              <w:top w:w="0" w:type="dxa"/>
              <w:bottom w:w="0" w:type="dxa"/>
            </w:tcMar>
            <w:vAlign w:val="center"/>
          </w:tcPr>
          <w:p w14:paraId="5817E720" w14:textId="77777777" w:rsidR="00975DC5" w:rsidRDefault="00000000">
            <w:pPr>
              <w:keepNext/>
              <w:keepLines/>
              <w:spacing w:after="0" w:line="240" w:lineRule="auto"/>
              <w:jc w:val="right"/>
            </w:pPr>
            <w:r>
              <w:rPr>
                <w:sz w:val="18"/>
              </w:rPr>
              <w:t>221.644,24</w:t>
            </w:r>
          </w:p>
        </w:tc>
        <w:tc>
          <w:tcPr>
            <w:tcW w:w="1860" w:type="dxa"/>
            <w:tcMar>
              <w:top w:w="0" w:type="dxa"/>
              <w:bottom w:w="0" w:type="dxa"/>
            </w:tcMar>
            <w:vAlign w:val="center"/>
          </w:tcPr>
          <w:p w14:paraId="280A9290" w14:textId="77777777" w:rsidR="00975DC5" w:rsidRDefault="00000000">
            <w:pPr>
              <w:keepNext/>
              <w:keepLines/>
              <w:spacing w:after="0" w:line="240" w:lineRule="auto"/>
              <w:jc w:val="right"/>
            </w:pPr>
            <w:r>
              <w:rPr>
                <w:sz w:val="18"/>
              </w:rPr>
              <w:t>300.593,48</w:t>
            </w:r>
          </w:p>
        </w:tc>
        <w:tc>
          <w:tcPr>
            <w:tcW w:w="700" w:type="dxa"/>
            <w:tcMar>
              <w:top w:w="0" w:type="dxa"/>
              <w:bottom w:w="0" w:type="dxa"/>
            </w:tcMar>
            <w:vAlign w:val="center"/>
          </w:tcPr>
          <w:p w14:paraId="38A57348" w14:textId="77777777" w:rsidR="00975DC5" w:rsidRDefault="00000000">
            <w:pPr>
              <w:keepNext/>
              <w:keepLines/>
              <w:spacing w:after="0" w:line="240" w:lineRule="auto"/>
              <w:jc w:val="right"/>
            </w:pPr>
            <w:r>
              <w:rPr>
                <w:sz w:val="18"/>
              </w:rPr>
              <w:t>135,6</w:t>
            </w:r>
          </w:p>
        </w:tc>
      </w:tr>
    </w:tbl>
    <w:p w14:paraId="61ACCB9A" w14:textId="77777777" w:rsidR="00975DC5" w:rsidRDefault="00975DC5">
      <w:pPr>
        <w:spacing w:after="0"/>
      </w:pPr>
    </w:p>
    <w:p w14:paraId="3D0BAF2F" w14:textId="77777777" w:rsidR="00975DC5" w:rsidRDefault="00000000">
      <w:r>
        <w:t>Pomoći dane unutar općeg proračuna su u odnosu na prethodno razdoblje povećane za 35,6%, a odnose se na pomoći proračunskim korisnicima drugih proračuna, odnosno pomoći Razvojnoj agenciji TINTL čiji je suosnivač Općina Tovarnik te prijenos proračunskom korisniku Dječji vrtić Palčić. Do povećanja je došlo zbog odluke o povećanju iznosa financiranja Razvojne agencije TINTL te zbog povećanja rashoda proračunskog korisnika DV Palčić koji se financiraju iz proračuna Općine Tovarnik.</w:t>
      </w:r>
    </w:p>
    <w:p w14:paraId="044C688F" w14:textId="77777777" w:rsidR="00975DC5" w:rsidRDefault="00975DC5"/>
    <w:p w14:paraId="0253D832" w14:textId="77777777" w:rsidR="00975DC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1E2AC0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99AA03"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1C299B"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74FB18"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D1B51C"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1DFADE"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2DEEB1" w14:textId="77777777" w:rsidR="00975DC5" w:rsidRDefault="00000000">
            <w:pPr>
              <w:keepNext/>
              <w:keepLines/>
              <w:spacing w:after="0" w:line="240" w:lineRule="auto"/>
              <w:jc w:val="center"/>
            </w:pPr>
            <w:r>
              <w:rPr>
                <w:b/>
                <w:sz w:val="18"/>
              </w:rPr>
              <w:t>Indeks (%)</w:t>
            </w:r>
          </w:p>
        </w:tc>
      </w:tr>
      <w:tr w:rsidR="00975DC5" w14:paraId="7897EFE3" w14:textId="77777777">
        <w:tblPrEx>
          <w:tblCellMar>
            <w:top w:w="0" w:type="dxa"/>
            <w:bottom w:w="0" w:type="dxa"/>
          </w:tblCellMar>
        </w:tblPrEx>
        <w:trPr>
          <w:cantSplit/>
          <w:trHeight w:val="560"/>
        </w:trPr>
        <w:tc>
          <w:tcPr>
            <w:tcW w:w="700" w:type="dxa"/>
            <w:tcMar>
              <w:top w:w="0" w:type="dxa"/>
              <w:bottom w:w="0" w:type="dxa"/>
            </w:tcMar>
            <w:vAlign w:val="center"/>
          </w:tcPr>
          <w:p w14:paraId="691BBAA4" w14:textId="77777777" w:rsidR="00975DC5" w:rsidRDefault="00000000">
            <w:pPr>
              <w:keepNext/>
              <w:keepLines/>
              <w:spacing w:after="0" w:line="240" w:lineRule="auto"/>
            </w:pPr>
            <w:r>
              <w:rPr>
                <w:sz w:val="18"/>
              </w:rPr>
              <w:t>7</w:t>
            </w:r>
          </w:p>
        </w:tc>
        <w:tc>
          <w:tcPr>
            <w:tcW w:w="3180" w:type="dxa"/>
            <w:tcMar>
              <w:top w:w="0" w:type="dxa"/>
              <w:bottom w:w="0" w:type="dxa"/>
            </w:tcMar>
            <w:vAlign w:val="center"/>
          </w:tcPr>
          <w:p w14:paraId="67D4112C" w14:textId="77777777" w:rsidR="00975DC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DA3BEE4" w14:textId="77777777" w:rsidR="00975DC5" w:rsidRDefault="00000000">
            <w:pPr>
              <w:keepNext/>
              <w:keepLines/>
              <w:spacing w:after="0" w:line="240" w:lineRule="auto"/>
            </w:pPr>
            <w:r>
              <w:rPr>
                <w:sz w:val="18"/>
              </w:rPr>
              <w:t>7</w:t>
            </w:r>
          </w:p>
        </w:tc>
        <w:tc>
          <w:tcPr>
            <w:tcW w:w="1860" w:type="dxa"/>
            <w:tcMar>
              <w:top w:w="0" w:type="dxa"/>
              <w:bottom w:w="0" w:type="dxa"/>
            </w:tcMar>
            <w:vAlign w:val="center"/>
          </w:tcPr>
          <w:p w14:paraId="1DDF1EFA" w14:textId="77777777" w:rsidR="00975DC5" w:rsidRDefault="00000000">
            <w:pPr>
              <w:keepNext/>
              <w:keepLines/>
              <w:spacing w:after="0" w:line="240" w:lineRule="auto"/>
              <w:jc w:val="right"/>
            </w:pPr>
            <w:r>
              <w:rPr>
                <w:sz w:val="18"/>
              </w:rPr>
              <w:t>0,00</w:t>
            </w:r>
          </w:p>
        </w:tc>
        <w:tc>
          <w:tcPr>
            <w:tcW w:w="1860" w:type="dxa"/>
            <w:tcMar>
              <w:top w:w="0" w:type="dxa"/>
              <w:bottom w:w="0" w:type="dxa"/>
            </w:tcMar>
            <w:vAlign w:val="center"/>
          </w:tcPr>
          <w:p w14:paraId="13B410C0" w14:textId="77777777" w:rsidR="00975DC5" w:rsidRDefault="00000000">
            <w:pPr>
              <w:keepNext/>
              <w:keepLines/>
              <w:spacing w:after="0" w:line="240" w:lineRule="auto"/>
              <w:jc w:val="right"/>
            </w:pPr>
            <w:r>
              <w:rPr>
                <w:sz w:val="18"/>
              </w:rPr>
              <w:t>10.513,34</w:t>
            </w:r>
          </w:p>
        </w:tc>
        <w:tc>
          <w:tcPr>
            <w:tcW w:w="700" w:type="dxa"/>
            <w:tcMar>
              <w:top w:w="0" w:type="dxa"/>
              <w:bottom w:w="0" w:type="dxa"/>
            </w:tcMar>
            <w:vAlign w:val="center"/>
          </w:tcPr>
          <w:p w14:paraId="7DF34480" w14:textId="77777777" w:rsidR="00975DC5" w:rsidRDefault="00000000">
            <w:pPr>
              <w:keepNext/>
              <w:keepLines/>
              <w:spacing w:after="0" w:line="240" w:lineRule="auto"/>
              <w:jc w:val="right"/>
            </w:pPr>
            <w:r>
              <w:rPr>
                <w:sz w:val="18"/>
              </w:rPr>
              <w:t>-</w:t>
            </w:r>
          </w:p>
        </w:tc>
      </w:tr>
    </w:tbl>
    <w:p w14:paraId="77DACE5F" w14:textId="77777777" w:rsidR="00975DC5" w:rsidRDefault="00975DC5">
      <w:pPr>
        <w:spacing w:after="0"/>
      </w:pPr>
    </w:p>
    <w:p w14:paraId="202C1CE8" w14:textId="77777777" w:rsidR="00975DC5" w:rsidRDefault="00000000">
      <w:r>
        <w:t>U izvještajnom razdoblju, ostvareni su prihodi od prodaje nefinancijske imovine, odnosno građevinskog zemljišta i obiteljske kuće koja je bila u suvlasništvu Općine Tovarnik.</w:t>
      </w:r>
    </w:p>
    <w:p w14:paraId="575DB6A3" w14:textId="77777777" w:rsidR="00975DC5" w:rsidRDefault="00975DC5"/>
    <w:p w14:paraId="41347A8F" w14:textId="77777777" w:rsidR="00975DC5"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086FA2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4E96A5"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F5F17E"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E0F12"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D4E408" w14:textId="77777777" w:rsidR="00975DC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3CE41F" w14:textId="77777777" w:rsidR="00975DC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082B3D" w14:textId="77777777" w:rsidR="00975DC5" w:rsidRDefault="00000000">
            <w:pPr>
              <w:keepNext/>
              <w:keepLines/>
              <w:spacing w:after="0" w:line="240" w:lineRule="auto"/>
              <w:jc w:val="center"/>
            </w:pPr>
            <w:r>
              <w:rPr>
                <w:b/>
                <w:sz w:val="18"/>
              </w:rPr>
              <w:t>Indeks (%)</w:t>
            </w:r>
          </w:p>
        </w:tc>
      </w:tr>
      <w:tr w:rsidR="00975DC5" w14:paraId="26616B55" w14:textId="77777777">
        <w:tblPrEx>
          <w:tblCellMar>
            <w:top w:w="0" w:type="dxa"/>
            <w:bottom w:w="0" w:type="dxa"/>
          </w:tblCellMar>
        </w:tblPrEx>
        <w:trPr>
          <w:cantSplit/>
          <w:trHeight w:val="560"/>
        </w:trPr>
        <w:tc>
          <w:tcPr>
            <w:tcW w:w="700" w:type="dxa"/>
            <w:tcMar>
              <w:top w:w="0" w:type="dxa"/>
              <w:bottom w:w="0" w:type="dxa"/>
            </w:tcMar>
            <w:vAlign w:val="center"/>
          </w:tcPr>
          <w:p w14:paraId="3DC9F075" w14:textId="77777777" w:rsidR="00975DC5" w:rsidRDefault="00000000">
            <w:pPr>
              <w:keepNext/>
              <w:keepLines/>
              <w:spacing w:after="0" w:line="240" w:lineRule="auto"/>
            </w:pPr>
            <w:r>
              <w:rPr>
                <w:sz w:val="18"/>
              </w:rPr>
              <w:t>4</w:t>
            </w:r>
          </w:p>
        </w:tc>
        <w:tc>
          <w:tcPr>
            <w:tcW w:w="3180" w:type="dxa"/>
            <w:tcMar>
              <w:top w:w="0" w:type="dxa"/>
              <w:bottom w:w="0" w:type="dxa"/>
            </w:tcMar>
            <w:vAlign w:val="center"/>
          </w:tcPr>
          <w:p w14:paraId="071A7F3D" w14:textId="77777777" w:rsidR="00975DC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E900C9F" w14:textId="77777777" w:rsidR="00975DC5" w:rsidRDefault="00000000">
            <w:pPr>
              <w:keepNext/>
              <w:keepLines/>
              <w:spacing w:after="0" w:line="240" w:lineRule="auto"/>
            </w:pPr>
            <w:r>
              <w:rPr>
                <w:sz w:val="18"/>
              </w:rPr>
              <w:t>4</w:t>
            </w:r>
          </w:p>
        </w:tc>
        <w:tc>
          <w:tcPr>
            <w:tcW w:w="1860" w:type="dxa"/>
            <w:tcMar>
              <w:top w:w="0" w:type="dxa"/>
              <w:bottom w:w="0" w:type="dxa"/>
            </w:tcMar>
            <w:vAlign w:val="center"/>
          </w:tcPr>
          <w:p w14:paraId="1740F1DA" w14:textId="77777777" w:rsidR="00975DC5" w:rsidRDefault="00000000">
            <w:pPr>
              <w:keepNext/>
              <w:keepLines/>
              <w:spacing w:after="0" w:line="240" w:lineRule="auto"/>
              <w:jc w:val="right"/>
            </w:pPr>
            <w:r>
              <w:rPr>
                <w:sz w:val="18"/>
              </w:rPr>
              <w:t>464.883,62</w:t>
            </w:r>
          </w:p>
        </w:tc>
        <w:tc>
          <w:tcPr>
            <w:tcW w:w="1860" w:type="dxa"/>
            <w:tcMar>
              <w:top w:w="0" w:type="dxa"/>
              <w:bottom w:w="0" w:type="dxa"/>
            </w:tcMar>
            <w:vAlign w:val="center"/>
          </w:tcPr>
          <w:p w14:paraId="318AF39D" w14:textId="77777777" w:rsidR="00975DC5" w:rsidRDefault="00000000">
            <w:pPr>
              <w:keepNext/>
              <w:keepLines/>
              <w:spacing w:after="0" w:line="240" w:lineRule="auto"/>
              <w:jc w:val="right"/>
            </w:pPr>
            <w:r>
              <w:rPr>
                <w:sz w:val="18"/>
              </w:rPr>
              <w:t>984.735,43</w:t>
            </w:r>
          </w:p>
        </w:tc>
        <w:tc>
          <w:tcPr>
            <w:tcW w:w="700" w:type="dxa"/>
            <w:tcMar>
              <w:top w:w="0" w:type="dxa"/>
              <w:bottom w:w="0" w:type="dxa"/>
            </w:tcMar>
            <w:vAlign w:val="center"/>
          </w:tcPr>
          <w:p w14:paraId="3AB0A973" w14:textId="77777777" w:rsidR="00975DC5" w:rsidRDefault="00000000">
            <w:pPr>
              <w:keepNext/>
              <w:keepLines/>
              <w:spacing w:after="0" w:line="240" w:lineRule="auto"/>
              <w:jc w:val="right"/>
            </w:pPr>
            <w:r>
              <w:rPr>
                <w:sz w:val="18"/>
              </w:rPr>
              <w:t>211,8</w:t>
            </w:r>
          </w:p>
        </w:tc>
      </w:tr>
    </w:tbl>
    <w:p w14:paraId="025F6B75" w14:textId="77777777" w:rsidR="00975DC5" w:rsidRDefault="00975DC5">
      <w:pPr>
        <w:spacing w:after="0"/>
      </w:pPr>
    </w:p>
    <w:p w14:paraId="21AA173C" w14:textId="77777777" w:rsidR="00975DC5" w:rsidRDefault="00000000">
      <w:r>
        <w:t>Rashodi za nabavu nefinancijske imovine značajno su povećani u odnosu na prethodno razdoblje, a rezultat su intenziviranja investicijskih projekata te većih rashoda za kapitalna ulaganja na građevinskim objektima.</w:t>
      </w:r>
    </w:p>
    <w:p w14:paraId="154A2754" w14:textId="77777777" w:rsidR="00975DC5" w:rsidRDefault="00975DC5"/>
    <w:p w14:paraId="58D3736B" w14:textId="77777777" w:rsidR="00975DC5" w:rsidRDefault="00000000">
      <w:pPr>
        <w:keepNext/>
        <w:spacing w:line="240" w:lineRule="auto"/>
        <w:jc w:val="center"/>
      </w:pPr>
      <w:r>
        <w:rPr>
          <w:b/>
          <w:sz w:val="28"/>
        </w:rPr>
        <w:lastRenderedPageBreak/>
        <w:t>Bilanca</w:t>
      </w:r>
    </w:p>
    <w:p w14:paraId="42FFA8A9" w14:textId="77777777" w:rsidR="00975DC5"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246CCE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F63E99"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CC604D"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975952"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4A4F1D"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CA11CF"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19F8DB" w14:textId="77777777" w:rsidR="00975DC5" w:rsidRDefault="00000000">
            <w:pPr>
              <w:keepNext/>
              <w:keepLines/>
              <w:spacing w:after="0" w:line="240" w:lineRule="auto"/>
              <w:jc w:val="center"/>
            </w:pPr>
            <w:r>
              <w:rPr>
                <w:b/>
                <w:sz w:val="18"/>
              </w:rPr>
              <w:t>Indeks (%)</w:t>
            </w:r>
          </w:p>
        </w:tc>
      </w:tr>
      <w:tr w:rsidR="00975DC5" w14:paraId="0A28FA79" w14:textId="77777777">
        <w:tblPrEx>
          <w:tblCellMar>
            <w:top w:w="0" w:type="dxa"/>
            <w:bottom w:w="0" w:type="dxa"/>
          </w:tblCellMar>
        </w:tblPrEx>
        <w:trPr>
          <w:cantSplit/>
          <w:trHeight w:val="560"/>
        </w:trPr>
        <w:tc>
          <w:tcPr>
            <w:tcW w:w="700" w:type="dxa"/>
            <w:tcMar>
              <w:top w:w="0" w:type="dxa"/>
              <w:bottom w:w="0" w:type="dxa"/>
            </w:tcMar>
            <w:vAlign w:val="center"/>
          </w:tcPr>
          <w:p w14:paraId="7D377EB6" w14:textId="77777777" w:rsidR="00975DC5" w:rsidRDefault="00975DC5">
            <w:pPr>
              <w:keepNext/>
              <w:keepLines/>
              <w:spacing w:after="0" w:line="240" w:lineRule="auto"/>
            </w:pPr>
          </w:p>
        </w:tc>
        <w:tc>
          <w:tcPr>
            <w:tcW w:w="3180" w:type="dxa"/>
            <w:tcMar>
              <w:top w:w="0" w:type="dxa"/>
              <w:bottom w:w="0" w:type="dxa"/>
            </w:tcMar>
            <w:vAlign w:val="center"/>
          </w:tcPr>
          <w:p w14:paraId="550513E3" w14:textId="77777777" w:rsidR="00975DC5" w:rsidRDefault="00000000">
            <w:pPr>
              <w:keepNext/>
              <w:keepLines/>
              <w:spacing w:after="0" w:line="240" w:lineRule="auto"/>
            </w:pPr>
            <w:r>
              <w:rPr>
                <w:sz w:val="18"/>
              </w:rPr>
              <w:t>IMOVINA (šifre B002+1)</w:t>
            </w:r>
          </w:p>
        </w:tc>
        <w:tc>
          <w:tcPr>
            <w:tcW w:w="700" w:type="dxa"/>
            <w:tcMar>
              <w:top w:w="0" w:type="dxa"/>
              <w:bottom w:w="0" w:type="dxa"/>
            </w:tcMar>
            <w:vAlign w:val="center"/>
          </w:tcPr>
          <w:p w14:paraId="3ED8CA66" w14:textId="77777777" w:rsidR="00975DC5" w:rsidRDefault="00000000">
            <w:pPr>
              <w:keepNext/>
              <w:keepLines/>
              <w:spacing w:after="0" w:line="240" w:lineRule="auto"/>
            </w:pPr>
            <w:r>
              <w:rPr>
                <w:sz w:val="18"/>
              </w:rPr>
              <w:t>B001</w:t>
            </w:r>
          </w:p>
        </w:tc>
        <w:tc>
          <w:tcPr>
            <w:tcW w:w="1860" w:type="dxa"/>
            <w:tcMar>
              <w:top w:w="0" w:type="dxa"/>
              <w:bottom w:w="0" w:type="dxa"/>
            </w:tcMar>
            <w:vAlign w:val="center"/>
          </w:tcPr>
          <w:p w14:paraId="1DD98A37" w14:textId="77777777" w:rsidR="00975DC5" w:rsidRDefault="00000000">
            <w:pPr>
              <w:keepNext/>
              <w:keepLines/>
              <w:spacing w:after="0" w:line="240" w:lineRule="auto"/>
              <w:jc w:val="right"/>
            </w:pPr>
            <w:r>
              <w:rPr>
                <w:sz w:val="18"/>
              </w:rPr>
              <w:t>7.103.056,23</w:t>
            </w:r>
          </w:p>
        </w:tc>
        <w:tc>
          <w:tcPr>
            <w:tcW w:w="1860" w:type="dxa"/>
            <w:tcMar>
              <w:top w:w="0" w:type="dxa"/>
              <w:bottom w:w="0" w:type="dxa"/>
            </w:tcMar>
            <w:vAlign w:val="center"/>
          </w:tcPr>
          <w:p w14:paraId="3D982DAE" w14:textId="77777777" w:rsidR="00975DC5" w:rsidRDefault="00000000">
            <w:pPr>
              <w:keepNext/>
              <w:keepLines/>
              <w:spacing w:after="0" w:line="240" w:lineRule="auto"/>
              <w:jc w:val="right"/>
            </w:pPr>
            <w:r>
              <w:rPr>
                <w:sz w:val="18"/>
              </w:rPr>
              <w:t>7.506.936,76</w:t>
            </w:r>
          </w:p>
        </w:tc>
        <w:tc>
          <w:tcPr>
            <w:tcW w:w="700" w:type="dxa"/>
            <w:tcMar>
              <w:top w:w="0" w:type="dxa"/>
              <w:bottom w:w="0" w:type="dxa"/>
            </w:tcMar>
            <w:vAlign w:val="center"/>
          </w:tcPr>
          <w:p w14:paraId="121D53EA" w14:textId="77777777" w:rsidR="00975DC5" w:rsidRDefault="00000000">
            <w:pPr>
              <w:keepNext/>
              <w:keepLines/>
              <w:spacing w:after="0" w:line="240" w:lineRule="auto"/>
              <w:jc w:val="right"/>
            </w:pPr>
            <w:r>
              <w:rPr>
                <w:sz w:val="18"/>
              </w:rPr>
              <w:t>105,7</w:t>
            </w:r>
          </w:p>
        </w:tc>
      </w:tr>
    </w:tbl>
    <w:p w14:paraId="611DABDA" w14:textId="77777777" w:rsidR="00975DC5" w:rsidRDefault="00975DC5">
      <w:pPr>
        <w:spacing w:after="0"/>
      </w:pPr>
    </w:p>
    <w:p w14:paraId="4A56B75E" w14:textId="77777777" w:rsidR="00975DC5" w:rsidRDefault="00000000">
      <w:r>
        <w:t>Ukupna vrijednost imovine Općine Tovarnik na dan 31.12.2025. iznosi 7.506.936,76 eura što predstavlja povećanje od 5,7% u odnosu na prethodnu godinu.</w:t>
      </w:r>
    </w:p>
    <w:p w14:paraId="7BC55D92" w14:textId="77777777" w:rsidR="00975DC5" w:rsidRDefault="00975DC5"/>
    <w:p w14:paraId="5DA3B4BB" w14:textId="77777777" w:rsidR="00975DC5"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085C1A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594C2A"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CBC61E"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7C453C"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7914EB"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245A9B"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B4C0FA" w14:textId="77777777" w:rsidR="00975DC5" w:rsidRDefault="00000000">
            <w:pPr>
              <w:keepNext/>
              <w:keepLines/>
              <w:spacing w:after="0" w:line="240" w:lineRule="auto"/>
              <w:jc w:val="center"/>
            </w:pPr>
            <w:r>
              <w:rPr>
                <w:b/>
                <w:sz w:val="18"/>
              </w:rPr>
              <w:t>Indeks (%)</w:t>
            </w:r>
          </w:p>
        </w:tc>
      </w:tr>
      <w:tr w:rsidR="00975DC5" w14:paraId="76178245" w14:textId="77777777">
        <w:tblPrEx>
          <w:tblCellMar>
            <w:top w:w="0" w:type="dxa"/>
            <w:bottom w:w="0" w:type="dxa"/>
          </w:tblCellMar>
        </w:tblPrEx>
        <w:trPr>
          <w:cantSplit/>
          <w:trHeight w:val="560"/>
        </w:trPr>
        <w:tc>
          <w:tcPr>
            <w:tcW w:w="700" w:type="dxa"/>
            <w:tcMar>
              <w:top w:w="0" w:type="dxa"/>
              <w:bottom w:w="0" w:type="dxa"/>
            </w:tcMar>
            <w:vAlign w:val="center"/>
          </w:tcPr>
          <w:p w14:paraId="506DA441" w14:textId="77777777" w:rsidR="00975DC5" w:rsidRDefault="00000000">
            <w:pPr>
              <w:keepNext/>
              <w:keepLines/>
              <w:spacing w:after="0" w:line="240" w:lineRule="auto"/>
            </w:pPr>
            <w:r>
              <w:rPr>
                <w:sz w:val="18"/>
              </w:rPr>
              <w:t>0</w:t>
            </w:r>
          </w:p>
        </w:tc>
        <w:tc>
          <w:tcPr>
            <w:tcW w:w="3180" w:type="dxa"/>
            <w:tcMar>
              <w:top w:w="0" w:type="dxa"/>
              <w:bottom w:w="0" w:type="dxa"/>
            </w:tcMar>
            <w:vAlign w:val="center"/>
          </w:tcPr>
          <w:p w14:paraId="19432C5B" w14:textId="77777777" w:rsidR="00975DC5"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41095143" w14:textId="77777777" w:rsidR="00975DC5" w:rsidRDefault="00000000">
            <w:pPr>
              <w:keepNext/>
              <w:keepLines/>
              <w:spacing w:after="0" w:line="240" w:lineRule="auto"/>
            </w:pPr>
            <w:r>
              <w:rPr>
                <w:sz w:val="18"/>
              </w:rPr>
              <w:t>B002</w:t>
            </w:r>
          </w:p>
        </w:tc>
        <w:tc>
          <w:tcPr>
            <w:tcW w:w="1860" w:type="dxa"/>
            <w:tcMar>
              <w:top w:w="0" w:type="dxa"/>
              <w:bottom w:w="0" w:type="dxa"/>
            </w:tcMar>
            <w:vAlign w:val="center"/>
          </w:tcPr>
          <w:p w14:paraId="1D7F45A4" w14:textId="77777777" w:rsidR="00975DC5" w:rsidRDefault="00000000">
            <w:pPr>
              <w:keepNext/>
              <w:keepLines/>
              <w:spacing w:after="0" w:line="240" w:lineRule="auto"/>
              <w:jc w:val="right"/>
            </w:pPr>
            <w:r>
              <w:rPr>
                <w:sz w:val="18"/>
              </w:rPr>
              <w:t>5.871.623,72</w:t>
            </w:r>
          </w:p>
        </w:tc>
        <w:tc>
          <w:tcPr>
            <w:tcW w:w="1860" w:type="dxa"/>
            <w:tcMar>
              <w:top w:w="0" w:type="dxa"/>
              <w:bottom w:w="0" w:type="dxa"/>
            </w:tcMar>
            <w:vAlign w:val="center"/>
          </w:tcPr>
          <w:p w14:paraId="369F774D" w14:textId="77777777" w:rsidR="00975DC5" w:rsidRDefault="00000000">
            <w:pPr>
              <w:keepNext/>
              <w:keepLines/>
              <w:spacing w:after="0" w:line="240" w:lineRule="auto"/>
              <w:jc w:val="right"/>
            </w:pPr>
            <w:r>
              <w:rPr>
                <w:sz w:val="18"/>
              </w:rPr>
              <w:t>6.590.561,17</w:t>
            </w:r>
          </w:p>
        </w:tc>
        <w:tc>
          <w:tcPr>
            <w:tcW w:w="700" w:type="dxa"/>
            <w:tcMar>
              <w:top w:w="0" w:type="dxa"/>
              <w:bottom w:w="0" w:type="dxa"/>
            </w:tcMar>
            <w:vAlign w:val="center"/>
          </w:tcPr>
          <w:p w14:paraId="1EB08CD5" w14:textId="77777777" w:rsidR="00975DC5" w:rsidRDefault="00000000">
            <w:pPr>
              <w:keepNext/>
              <w:keepLines/>
              <w:spacing w:after="0" w:line="240" w:lineRule="auto"/>
              <w:jc w:val="right"/>
            </w:pPr>
            <w:r>
              <w:rPr>
                <w:sz w:val="18"/>
              </w:rPr>
              <w:t>112,2</w:t>
            </w:r>
          </w:p>
        </w:tc>
      </w:tr>
    </w:tbl>
    <w:p w14:paraId="7EED886C" w14:textId="77777777" w:rsidR="00975DC5" w:rsidRDefault="00975DC5">
      <w:pPr>
        <w:spacing w:after="0"/>
      </w:pPr>
    </w:p>
    <w:p w14:paraId="7997A512" w14:textId="77777777" w:rsidR="00975DC5" w:rsidRDefault="00000000">
      <w:r>
        <w:t xml:space="preserve">Nefinancijska imovina čini oko 90% ukupne imovine te iznosi 6.590.561,17 eura, a sastoji se od </w:t>
      </w:r>
      <w:proofErr w:type="spellStart"/>
      <w:r>
        <w:t>neproizvedene</w:t>
      </w:r>
      <w:proofErr w:type="spellEnd"/>
      <w:r>
        <w:t xml:space="preserve"> dugotrajne imovine (većim dijelom građevinska i poljoprivredna zemljišta) te proizvedene dugotrajne imovine (građevinski objekti, postrojenja i oprema, prijevozna sredstva, knjige i umjetnička djela, nematerijalna proizvedena imovina, dugotrajna nefinancijska imovina u pripremi).</w:t>
      </w:r>
    </w:p>
    <w:p w14:paraId="49A49DE6" w14:textId="77777777" w:rsidR="00975DC5" w:rsidRDefault="00975DC5"/>
    <w:p w14:paraId="4B4A4BDB" w14:textId="77777777" w:rsidR="00975DC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7D316E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4CFF73"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F0D863"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AA2050"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A66870"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01868D"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939E6D" w14:textId="77777777" w:rsidR="00975DC5" w:rsidRDefault="00000000">
            <w:pPr>
              <w:keepNext/>
              <w:keepLines/>
              <w:spacing w:after="0" w:line="240" w:lineRule="auto"/>
              <w:jc w:val="center"/>
            </w:pPr>
            <w:r>
              <w:rPr>
                <w:b/>
                <w:sz w:val="18"/>
              </w:rPr>
              <w:t>Indeks (%)</w:t>
            </w:r>
          </w:p>
        </w:tc>
      </w:tr>
      <w:tr w:rsidR="00975DC5" w14:paraId="629D3A78" w14:textId="77777777">
        <w:tblPrEx>
          <w:tblCellMar>
            <w:top w:w="0" w:type="dxa"/>
            <w:bottom w:w="0" w:type="dxa"/>
          </w:tblCellMar>
        </w:tblPrEx>
        <w:trPr>
          <w:cantSplit/>
          <w:trHeight w:val="560"/>
        </w:trPr>
        <w:tc>
          <w:tcPr>
            <w:tcW w:w="700" w:type="dxa"/>
            <w:tcMar>
              <w:top w:w="0" w:type="dxa"/>
              <w:bottom w:w="0" w:type="dxa"/>
            </w:tcMar>
            <w:vAlign w:val="center"/>
          </w:tcPr>
          <w:p w14:paraId="6C765DF6" w14:textId="77777777" w:rsidR="00975DC5" w:rsidRDefault="00000000">
            <w:pPr>
              <w:keepNext/>
              <w:keepLines/>
              <w:spacing w:after="0" w:line="240" w:lineRule="auto"/>
            </w:pPr>
            <w:r>
              <w:rPr>
                <w:sz w:val="18"/>
              </w:rPr>
              <w:t>021 i 02921</w:t>
            </w:r>
          </w:p>
        </w:tc>
        <w:tc>
          <w:tcPr>
            <w:tcW w:w="3180" w:type="dxa"/>
            <w:tcMar>
              <w:top w:w="0" w:type="dxa"/>
              <w:bottom w:w="0" w:type="dxa"/>
            </w:tcMar>
            <w:vAlign w:val="center"/>
          </w:tcPr>
          <w:p w14:paraId="13FF8C33" w14:textId="77777777" w:rsidR="00975DC5"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4DB22E4F" w14:textId="77777777" w:rsidR="00975DC5" w:rsidRDefault="00000000">
            <w:pPr>
              <w:keepNext/>
              <w:keepLines/>
              <w:spacing w:after="0" w:line="240" w:lineRule="auto"/>
            </w:pPr>
            <w:r>
              <w:rPr>
                <w:sz w:val="18"/>
              </w:rPr>
              <w:t>021 i 02921</w:t>
            </w:r>
          </w:p>
        </w:tc>
        <w:tc>
          <w:tcPr>
            <w:tcW w:w="1860" w:type="dxa"/>
            <w:tcMar>
              <w:top w:w="0" w:type="dxa"/>
              <w:bottom w:w="0" w:type="dxa"/>
            </w:tcMar>
            <w:vAlign w:val="center"/>
          </w:tcPr>
          <w:p w14:paraId="47A765DD" w14:textId="77777777" w:rsidR="00975DC5" w:rsidRDefault="00000000">
            <w:pPr>
              <w:keepNext/>
              <w:keepLines/>
              <w:spacing w:after="0" w:line="240" w:lineRule="auto"/>
              <w:jc w:val="right"/>
            </w:pPr>
            <w:r>
              <w:rPr>
                <w:sz w:val="18"/>
              </w:rPr>
              <w:t>4.849.885,62</w:t>
            </w:r>
          </w:p>
        </w:tc>
        <w:tc>
          <w:tcPr>
            <w:tcW w:w="1860" w:type="dxa"/>
            <w:tcMar>
              <w:top w:w="0" w:type="dxa"/>
              <w:bottom w:w="0" w:type="dxa"/>
            </w:tcMar>
            <w:vAlign w:val="center"/>
          </w:tcPr>
          <w:p w14:paraId="7BFBAEF7" w14:textId="77777777" w:rsidR="00975DC5" w:rsidRDefault="00000000">
            <w:pPr>
              <w:keepNext/>
              <w:keepLines/>
              <w:spacing w:after="0" w:line="240" w:lineRule="auto"/>
              <w:jc w:val="right"/>
            </w:pPr>
            <w:r>
              <w:rPr>
                <w:sz w:val="18"/>
              </w:rPr>
              <w:t>5.541.348,58</w:t>
            </w:r>
          </w:p>
        </w:tc>
        <w:tc>
          <w:tcPr>
            <w:tcW w:w="700" w:type="dxa"/>
            <w:tcMar>
              <w:top w:w="0" w:type="dxa"/>
              <w:bottom w:w="0" w:type="dxa"/>
            </w:tcMar>
            <w:vAlign w:val="center"/>
          </w:tcPr>
          <w:p w14:paraId="01743837" w14:textId="77777777" w:rsidR="00975DC5" w:rsidRDefault="00000000">
            <w:pPr>
              <w:keepNext/>
              <w:keepLines/>
              <w:spacing w:after="0" w:line="240" w:lineRule="auto"/>
              <w:jc w:val="right"/>
            </w:pPr>
            <w:r>
              <w:rPr>
                <w:sz w:val="18"/>
              </w:rPr>
              <w:t>114,3</w:t>
            </w:r>
          </w:p>
        </w:tc>
      </w:tr>
    </w:tbl>
    <w:p w14:paraId="44D8F90B" w14:textId="77777777" w:rsidR="00975DC5" w:rsidRDefault="00975DC5">
      <w:pPr>
        <w:spacing w:after="0"/>
      </w:pPr>
    </w:p>
    <w:p w14:paraId="52D6EC11" w14:textId="77777777" w:rsidR="00975DC5" w:rsidRDefault="00000000">
      <w:r>
        <w:t>Najveći udio u proizvedenoj dugotrajnoj imovini zauzimaju građevinski objekti, čija je vrijednost povećana za 14,3% u odnosu na prethodno razdoblje. Povećanje je rezultat realizacije investicijskih projekata te ulaganja u komunalnu i prometnu infrastrukturu.</w:t>
      </w:r>
    </w:p>
    <w:p w14:paraId="1A2B368C" w14:textId="77777777" w:rsidR="00975DC5" w:rsidRDefault="00975DC5"/>
    <w:p w14:paraId="06D861B2" w14:textId="77777777" w:rsidR="00975DC5"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2AB07D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288C0F"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91DD3C"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E13312"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70FF12"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F644F5"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C048AA" w14:textId="77777777" w:rsidR="00975DC5" w:rsidRDefault="00000000">
            <w:pPr>
              <w:keepNext/>
              <w:keepLines/>
              <w:spacing w:after="0" w:line="240" w:lineRule="auto"/>
              <w:jc w:val="center"/>
            </w:pPr>
            <w:r>
              <w:rPr>
                <w:b/>
                <w:sz w:val="18"/>
              </w:rPr>
              <w:t>Indeks (%)</w:t>
            </w:r>
          </w:p>
        </w:tc>
      </w:tr>
      <w:tr w:rsidR="00975DC5" w14:paraId="2BEC81D9" w14:textId="77777777">
        <w:tblPrEx>
          <w:tblCellMar>
            <w:top w:w="0" w:type="dxa"/>
            <w:bottom w:w="0" w:type="dxa"/>
          </w:tblCellMar>
        </w:tblPrEx>
        <w:trPr>
          <w:cantSplit/>
          <w:trHeight w:val="560"/>
        </w:trPr>
        <w:tc>
          <w:tcPr>
            <w:tcW w:w="700" w:type="dxa"/>
            <w:tcMar>
              <w:top w:w="0" w:type="dxa"/>
              <w:bottom w:w="0" w:type="dxa"/>
            </w:tcMar>
            <w:vAlign w:val="center"/>
          </w:tcPr>
          <w:p w14:paraId="4FCD2AE4" w14:textId="77777777" w:rsidR="00975DC5" w:rsidRDefault="00000000">
            <w:pPr>
              <w:keepNext/>
              <w:keepLines/>
              <w:spacing w:after="0" w:line="240" w:lineRule="auto"/>
            </w:pPr>
            <w:r>
              <w:rPr>
                <w:sz w:val="18"/>
              </w:rPr>
              <w:t>05</w:t>
            </w:r>
          </w:p>
        </w:tc>
        <w:tc>
          <w:tcPr>
            <w:tcW w:w="3180" w:type="dxa"/>
            <w:tcMar>
              <w:top w:w="0" w:type="dxa"/>
              <w:bottom w:w="0" w:type="dxa"/>
            </w:tcMar>
            <w:vAlign w:val="center"/>
          </w:tcPr>
          <w:p w14:paraId="0CF34E2A" w14:textId="77777777" w:rsidR="00975DC5"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6D0A52DC" w14:textId="77777777" w:rsidR="00975DC5" w:rsidRDefault="00000000">
            <w:pPr>
              <w:keepNext/>
              <w:keepLines/>
              <w:spacing w:after="0" w:line="240" w:lineRule="auto"/>
            </w:pPr>
            <w:r>
              <w:rPr>
                <w:sz w:val="18"/>
              </w:rPr>
              <w:t>05</w:t>
            </w:r>
          </w:p>
        </w:tc>
        <w:tc>
          <w:tcPr>
            <w:tcW w:w="1860" w:type="dxa"/>
            <w:tcMar>
              <w:top w:w="0" w:type="dxa"/>
              <w:bottom w:w="0" w:type="dxa"/>
            </w:tcMar>
            <w:vAlign w:val="center"/>
          </w:tcPr>
          <w:p w14:paraId="4019A534" w14:textId="77777777" w:rsidR="00975DC5" w:rsidRDefault="00000000">
            <w:pPr>
              <w:keepNext/>
              <w:keepLines/>
              <w:spacing w:after="0" w:line="240" w:lineRule="auto"/>
              <w:jc w:val="right"/>
            </w:pPr>
            <w:r>
              <w:rPr>
                <w:sz w:val="18"/>
              </w:rPr>
              <w:t>10.977,87</w:t>
            </w:r>
          </w:p>
        </w:tc>
        <w:tc>
          <w:tcPr>
            <w:tcW w:w="1860" w:type="dxa"/>
            <w:tcMar>
              <w:top w:w="0" w:type="dxa"/>
              <w:bottom w:w="0" w:type="dxa"/>
            </w:tcMar>
            <w:vAlign w:val="center"/>
          </w:tcPr>
          <w:p w14:paraId="32E3894B" w14:textId="77777777" w:rsidR="00975DC5" w:rsidRDefault="00000000">
            <w:pPr>
              <w:keepNext/>
              <w:keepLines/>
              <w:spacing w:after="0" w:line="240" w:lineRule="auto"/>
              <w:jc w:val="right"/>
            </w:pPr>
            <w:r>
              <w:rPr>
                <w:sz w:val="18"/>
              </w:rPr>
              <w:t>34.396,62</w:t>
            </w:r>
          </w:p>
        </w:tc>
        <w:tc>
          <w:tcPr>
            <w:tcW w:w="700" w:type="dxa"/>
            <w:tcMar>
              <w:top w:w="0" w:type="dxa"/>
              <w:bottom w:w="0" w:type="dxa"/>
            </w:tcMar>
            <w:vAlign w:val="center"/>
          </w:tcPr>
          <w:p w14:paraId="5E16CE12" w14:textId="77777777" w:rsidR="00975DC5" w:rsidRDefault="00000000">
            <w:pPr>
              <w:keepNext/>
              <w:keepLines/>
              <w:spacing w:after="0" w:line="240" w:lineRule="auto"/>
              <w:jc w:val="right"/>
            </w:pPr>
            <w:r>
              <w:rPr>
                <w:sz w:val="18"/>
              </w:rPr>
              <w:t>313,3</w:t>
            </w:r>
          </w:p>
        </w:tc>
      </w:tr>
    </w:tbl>
    <w:p w14:paraId="2B3E3E98" w14:textId="77777777" w:rsidR="00975DC5" w:rsidRDefault="00975DC5">
      <w:pPr>
        <w:spacing w:after="0"/>
      </w:pPr>
    </w:p>
    <w:p w14:paraId="0DF4221E" w14:textId="77777777" w:rsidR="00975DC5" w:rsidRDefault="00000000">
      <w:r>
        <w:lastRenderedPageBreak/>
        <w:t>Značajnija promjena u stanju u odnosu na prethodno razdoblje vidljiva je na dugotrajnoj nefinancijskoj imovini u pripremi, a rezultat je povećanja ulaganja u građevinske objekte i postrojenja i opremu koja još nisu stavljena u upotrebu.</w:t>
      </w:r>
    </w:p>
    <w:p w14:paraId="69CD84A8" w14:textId="77777777" w:rsidR="00975DC5" w:rsidRDefault="00975DC5"/>
    <w:p w14:paraId="0C66FDDF" w14:textId="77777777" w:rsidR="00975DC5"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06C657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260982"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47B497"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E7E211"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D87E84"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7A6DB6"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CFBE5A" w14:textId="77777777" w:rsidR="00975DC5" w:rsidRDefault="00000000">
            <w:pPr>
              <w:keepNext/>
              <w:keepLines/>
              <w:spacing w:after="0" w:line="240" w:lineRule="auto"/>
              <w:jc w:val="center"/>
            </w:pPr>
            <w:r>
              <w:rPr>
                <w:b/>
                <w:sz w:val="18"/>
              </w:rPr>
              <w:t>Indeks (%)</w:t>
            </w:r>
          </w:p>
        </w:tc>
      </w:tr>
      <w:tr w:rsidR="00975DC5" w14:paraId="5EDA5963" w14:textId="77777777">
        <w:tblPrEx>
          <w:tblCellMar>
            <w:top w:w="0" w:type="dxa"/>
            <w:bottom w:w="0" w:type="dxa"/>
          </w:tblCellMar>
        </w:tblPrEx>
        <w:trPr>
          <w:cantSplit/>
          <w:trHeight w:val="560"/>
        </w:trPr>
        <w:tc>
          <w:tcPr>
            <w:tcW w:w="700" w:type="dxa"/>
            <w:tcMar>
              <w:top w:w="0" w:type="dxa"/>
              <w:bottom w:w="0" w:type="dxa"/>
            </w:tcMar>
            <w:vAlign w:val="center"/>
          </w:tcPr>
          <w:p w14:paraId="02154E3D" w14:textId="77777777" w:rsidR="00975DC5" w:rsidRDefault="00000000">
            <w:pPr>
              <w:keepNext/>
              <w:keepLines/>
              <w:spacing w:after="0" w:line="240" w:lineRule="auto"/>
            </w:pPr>
            <w:r>
              <w:rPr>
                <w:sz w:val="18"/>
              </w:rPr>
              <w:t>1</w:t>
            </w:r>
          </w:p>
        </w:tc>
        <w:tc>
          <w:tcPr>
            <w:tcW w:w="3180" w:type="dxa"/>
            <w:tcMar>
              <w:top w:w="0" w:type="dxa"/>
              <w:bottom w:w="0" w:type="dxa"/>
            </w:tcMar>
            <w:vAlign w:val="center"/>
          </w:tcPr>
          <w:p w14:paraId="066738E1" w14:textId="77777777" w:rsidR="00975DC5"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40FDC47E" w14:textId="77777777" w:rsidR="00975DC5" w:rsidRDefault="00000000">
            <w:pPr>
              <w:keepNext/>
              <w:keepLines/>
              <w:spacing w:after="0" w:line="240" w:lineRule="auto"/>
            </w:pPr>
            <w:r>
              <w:rPr>
                <w:sz w:val="18"/>
              </w:rPr>
              <w:t>1</w:t>
            </w:r>
          </w:p>
        </w:tc>
        <w:tc>
          <w:tcPr>
            <w:tcW w:w="1860" w:type="dxa"/>
            <w:tcMar>
              <w:top w:w="0" w:type="dxa"/>
              <w:bottom w:w="0" w:type="dxa"/>
            </w:tcMar>
            <w:vAlign w:val="center"/>
          </w:tcPr>
          <w:p w14:paraId="6267DB72" w14:textId="77777777" w:rsidR="00975DC5" w:rsidRDefault="00000000">
            <w:pPr>
              <w:keepNext/>
              <w:keepLines/>
              <w:spacing w:after="0" w:line="240" w:lineRule="auto"/>
              <w:jc w:val="right"/>
            </w:pPr>
            <w:r>
              <w:rPr>
                <w:sz w:val="18"/>
              </w:rPr>
              <w:t>1.231.432,51</w:t>
            </w:r>
          </w:p>
        </w:tc>
        <w:tc>
          <w:tcPr>
            <w:tcW w:w="1860" w:type="dxa"/>
            <w:tcMar>
              <w:top w:w="0" w:type="dxa"/>
              <w:bottom w:w="0" w:type="dxa"/>
            </w:tcMar>
            <w:vAlign w:val="center"/>
          </w:tcPr>
          <w:p w14:paraId="455A927C" w14:textId="77777777" w:rsidR="00975DC5" w:rsidRDefault="00000000">
            <w:pPr>
              <w:keepNext/>
              <w:keepLines/>
              <w:spacing w:after="0" w:line="240" w:lineRule="auto"/>
              <w:jc w:val="right"/>
            </w:pPr>
            <w:r>
              <w:rPr>
                <w:sz w:val="18"/>
              </w:rPr>
              <w:t>916.375,59</w:t>
            </w:r>
          </w:p>
        </w:tc>
        <w:tc>
          <w:tcPr>
            <w:tcW w:w="700" w:type="dxa"/>
            <w:tcMar>
              <w:top w:w="0" w:type="dxa"/>
              <w:bottom w:w="0" w:type="dxa"/>
            </w:tcMar>
            <w:vAlign w:val="center"/>
          </w:tcPr>
          <w:p w14:paraId="3EB2725E" w14:textId="77777777" w:rsidR="00975DC5" w:rsidRDefault="00000000">
            <w:pPr>
              <w:keepNext/>
              <w:keepLines/>
              <w:spacing w:after="0" w:line="240" w:lineRule="auto"/>
              <w:jc w:val="right"/>
            </w:pPr>
            <w:r>
              <w:rPr>
                <w:sz w:val="18"/>
              </w:rPr>
              <w:t>74,4</w:t>
            </w:r>
          </w:p>
        </w:tc>
      </w:tr>
    </w:tbl>
    <w:p w14:paraId="79A4119D" w14:textId="77777777" w:rsidR="00975DC5" w:rsidRDefault="00975DC5">
      <w:pPr>
        <w:spacing w:after="0"/>
      </w:pPr>
    </w:p>
    <w:p w14:paraId="2644AE65" w14:textId="77777777" w:rsidR="00975DC5" w:rsidRDefault="00000000">
      <w:r>
        <w:t>Financijska imovina zauzima manji udio u ukupnoj strukturi imovine, a čine ju novčana sredstva i potraživanja. Značajno smanjenje novca u banci u odnosu na prethodno razdoblje, rezultat je zatvaranja kratkoročnog revolving kredita krajem izvještajnog razdoblja te nenaplaćenih potraživanja za pomoći od subjekata unutar općeg proračuna.</w:t>
      </w:r>
    </w:p>
    <w:p w14:paraId="33E323FF" w14:textId="77777777" w:rsidR="00975DC5" w:rsidRDefault="00975DC5"/>
    <w:p w14:paraId="2BE8B62B" w14:textId="77777777" w:rsidR="00975DC5"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557227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A162DE"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5AB0EB"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421225"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BEE910"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FFD990"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4A3F7A" w14:textId="77777777" w:rsidR="00975DC5" w:rsidRDefault="00000000">
            <w:pPr>
              <w:keepNext/>
              <w:keepLines/>
              <w:spacing w:after="0" w:line="240" w:lineRule="auto"/>
              <w:jc w:val="center"/>
            </w:pPr>
            <w:r>
              <w:rPr>
                <w:b/>
                <w:sz w:val="18"/>
              </w:rPr>
              <w:t>Indeks (%)</w:t>
            </w:r>
          </w:p>
        </w:tc>
      </w:tr>
      <w:tr w:rsidR="00975DC5" w14:paraId="4F2EEBDC" w14:textId="77777777">
        <w:tblPrEx>
          <w:tblCellMar>
            <w:top w:w="0" w:type="dxa"/>
            <w:bottom w:w="0" w:type="dxa"/>
          </w:tblCellMar>
        </w:tblPrEx>
        <w:trPr>
          <w:cantSplit/>
          <w:trHeight w:val="560"/>
        </w:trPr>
        <w:tc>
          <w:tcPr>
            <w:tcW w:w="700" w:type="dxa"/>
            <w:tcMar>
              <w:top w:w="0" w:type="dxa"/>
              <w:bottom w:w="0" w:type="dxa"/>
            </w:tcMar>
            <w:vAlign w:val="center"/>
          </w:tcPr>
          <w:p w14:paraId="1755CCDB" w14:textId="77777777" w:rsidR="00975DC5" w:rsidRDefault="00000000">
            <w:pPr>
              <w:keepNext/>
              <w:keepLines/>
              <w:spacing w:after="0" w:line="240" w:lineRule="auto"/>
            </w:pPr>
            <w:r>
              <w:rPr>
                <w:sz w:val="18"/>
              </w:rPr>
              <w:t>2</w:t>
            </w:r>
          </w:p>
        </w:tc>
        <w:tc>
          <w:tcPr>
            <w:tcW w:w="3180" w:type="dxa"/>
            <w:tcMar>
              <w:top w:w="0" w:type="dxa"/>
              <w:bottom w:w="0" w:type="dxa"/>
            </w:tcMar>
            <w:vAlign w:val="center"/>
          </w:tcPr>
          <w:p w14:paraId="51A0A96D" w14:textId="77777777" w:rsidR="00975DC5" w:rsidRDefault="00000000">
            <w:pPr>
              <w:keepNext/>
              <w:keepLines/>
              <w:spacing w:after="0" w:line="240" w:lineRule="auto"/>
            </w:pPr>
            <w:r>
              <w:rPr>
                <w:sz w:val="18"/>
              </w:rPr>
              <w:t>Obveze (šifre 23+24+25+26+27+29)</w:t>
            </w:r>
          </w:p>
        </w:tc>
        <w:tc>
          <w:tcPr>
            <w:tcW w:w="700" w:type="dxa"/>
            <w:tcMar>
              <w:top w:w="0" w:type="dxa"/>
              <w:bottom w:w="0" w:type="dxa"/>
            </w:tcMar>
            <w:vAlign w:val="center"/>
          </w:tcPr>
          <w:p w14:paraId="1B909976" w14:textId="77777777" w:rsidR="00975DC5" w:rsidRDefault="00000000">
            <w:pPr>
              <w:keepNext/>
              <w:keepLines/>
              <w:spacing w:after="0" w:line="240" w:lineRule="auto"/>
            </w:pPr>
            <w:r>
              <w:rPr>
                <w:sz w:val="18"/>
              </w:rPr>
              <w:t>2</w:t>
            </w:r>
          </w:p>
        </w:tc>
        <w:tc>
          <w:tcPr>
            <w:tcW w:w="1860" w:type="dxa"/>
            <w:tcMar>
              <w:top w:w="0" w:type="dxa"/>
              <w:bottom w:w="0" w:type="dxa"/>
            </w:tcMar>
            <w:vAlign w:val="center"/>
          </w:tcPr>
          <w:p w14:paraId="155BF5B3" w14:textId="77777777" w:rsidR="00975DC5" w:rsidRDefault="00000000">
            <w:pPr>
              <w:keepNext/>
              <w:keepLines/>
              <w:spacing w:after="0" w:line="240" w:lineRule="auto"/>
              <w:jc w:val="right"/>
            </w:pPr>
            <w:r>
              <w:rPr>
                <w:sz w:val="18"/>
              </w:rPr>
              <w:t>884.523,09</w:t>
            </w:r>
          </w:p>
        </w:tc>
        <w:tc>
          <w:tcPr>
            <w:tcW w:w="1860" w:type="dxa"/>
            <w:tcMar>
              <w:top w:w="0" w:type="dxa"/>
              <w:bottom w:w="0" w:type="dxa"/>
            </w:tcMar>
            <w:vAlign w:val="center"/>
          </w:tcPr>
          <w:p w14:paraId="03ED7F7D" w14:textId="77777777" w:rsidR="00975DC5" w:rsidRDefault="00000000">
            <w:pPr>
              <w:keepNext/>
              <w:keepLines/>
              <w:spacing w:after="0" w:line="240" w:lineRule="auto"/>
              <w:jc w:val="right"/>
            </w:pPr>
            <w:r>
              <w:rPr>
                <w:sz w:val="18"/>
              </w:rPr>
              <w:t>905.927,64</w:t>
            </w:r>
          </w:p>
        </w:tc>
        <w:tc>
          <w:tcPr>
            <w:tcW w:w="700" w:type="dxa"/>
            <w:tcMar>
              <w:top w:w="0" w:type="dxa"/>
              <w:bottom w:w="0" w:type="dxa"/>
            </w:tcMar>
            <w:vAlign w:val="center"/>
          </w:tcPr>
          <w:p w14:paraId="49409F5F" w14:textId="77777777" w:rsidR="00975DC5" w:rsidRDefault="00000000">
            <w:pPr>
              <w:keepNext/>
              <w:keepLines/>
              <w:spacing w:after="0" w:line="240" w:lineRule="auto"/>
              <w:jc w:val="right"/>
            </w:pPr>
            <w:r>
              <w:rPr>
                <w:sz w:val="18"/>
              </w:rPr>
              <w:t>102,4</w:t>
            </w:r>
          </w:p>
        </w:tc>
      </w:tr>
    </w:tbl>
    <w:p w14:paraId="561B236C" w14:textId="77777777" w:rsidR="00975DC5" w:rsidRDefault="00975DC5">
      <w:pPr>
        <w:spacing w:after="0"/>
      </w:pPr>
    </w:p>
    <w:p w14:paraId="6A2AD188" w14:textId="77777777" w:rsidR="00975DC5" w:rsidRDefault="00000000">
      <w:r>
        <w:t>Ukupne obveze na kraju izvještajnog razdoblja iznose 905.927,64 eura, a odnose se na obveze za rashode poslovanja, obveze za financijske rashode, obveze za nabavu nefinancijske imovine i obveze za kredite i zajmove.</w:t>
      </w:r>
    </w:p>
    <w:p w14:paraId="07B52C72" w14:textId="77777777" w:rsidR="00975DC5" w:rsidRDefault="00975DC5"/>
    <w:p w14:paraId="4C76C351" w14:textId="77777777" w:rsidR="00975DC5"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08ABAE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2FD338"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C6C82F"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FA9FCC"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D13518"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EEA759"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96BBB4" w14:textId="77777777" w:rsidR="00975DC5" w:rsidRDefault="00000000">
            <w:pPr>
              <w:keepNext/>
              <w:keepLines/>
              <w:spacing w:after="0" w:line="240" w:lineRule="auto"/>
              <w:jc w:val="center"/>
            </w:pPr>
            <w:r>
              <w:rPr>
                <w:b/>
                <w:sz w:val="18"/>
              </w:rPr>
              <w:t>Indeks (%)</w:t>
            </w:r>
          </w:p>
        </w:tc>
      </w:tr>
      <w:tr w:rsidR="00975DC5" w14:paraId="46BAB802" w14:textId="77777777">
        <w:tblPrEx>
          <w:tblCellMar>
            <w:top w:w="0" w:type="dxa"/>
            <w:bottom w:w="0" w:type="dxa"/>
          </w:tblCellMar>
        </w:tblPrEx>
        <w:trPr>
          <w:cantSplit/>
          <w:trHeight w:val="560"/>
        </w:trPr>
        <w:tc>
          <w:tcPr>
            <w:tcW w:w="700" w:type="dxa"/>
            <w:tcMar>
              <w:top w:w="0" w:type="dxa"/>
              <w:bottom w:w="0" w:type="dxa"/>
            </w:tcMar>
            <w:vAlign w:val="center"/>
          </w:tcPr>
          <w:p w14:paraId="3D646458" w14:textId="77777777" w:rsidR="00975DC5" w:rsidRDefault="00000000">
            <w:pPr>
              <w:keepNext/>
              <w:keepLines/>
              <w:spacing w:after="0" w:line="240" w:lineRule="auto"/>
            </w:pPr>
            <w:r>
              <w:rPr>
                <w:sz w:val="18"/>
              </w:rPr>
              <w:t>23</w:t>
            </w:r>
          </w:p>
        </w:tc>
        <w:tc>
          <w:tcPr>
            <w:tcW w:w="3180" w:type="dxa"/>
            <w:tcMar>
              <w:top w:w="0" w:type="dxa"/>
              <w:bottom w:w="0" w:type="dxa"/>
            </w:tcMar>
            <w:vAlign w:val="center"/>
          </w:tcPr>
          <w:p w14:paraId="4F6A4E4C" w14:textId="77777777" w:rsidR="00975DC5"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3C4A9AA4" w14:textId="77777777" w:rsidR="00975DC5" w:rsidRDefault="00000000">
            <w:pPr>
              <w:keepNext/>
              <w:keepLines/>
              <w:spacing w:after="0" w:line="240" w:lineRule="auto"/>
            </w:pPr>
            <w:r>
              <w:rPr>
                <w:sz w:val="18"/>
              </w:rPr>
              <w:t>23</w:t>
            </w:r>
          </w:p>
        </w:tc>
        <w:tc>
          <w:tcPr>
            <w:tcW w:w="1860" w:type="dxa"/>
            <w:tcMar>
              <w:top w:w="0" w:type="dxa"/>
              <w:bottom w:w="0" w:type="dxa"/>
            </w:tcMar>
            <w:vAlign w:val="center"/>
          </w:tcPr>
          <w:p w14:paraId="151B6809" w14:textId="77777777" w:rsidR="00975DC5" w:rsidRDefault="00000000">
            <w:pPr>
              <w:keepNext/>
              <w:keepLines/>
              <w:spacing w:after="0" w:line="240" w:lineRule="auto"/>
              <w:jc w:val="right"/>
            </w:pPr>
            <w:r>
              <w:rPr>
                <w:sz w:val="18"/>
              </w:rPr>
              <w:t>609.430,05</w:t>
            </w:r>
          </w:p>
        </w:tc>
        <w:tc>
          <w:tcPr>
            <w:tcW w:w="1860" w:type="dxa"/>
            <w:tcMar>
              <w:top w:w="0" w:type="dxa"/>
              <w:bottom w:w="0" w:type="dxa"/>
            </w:tcMar>
            <w:vAlign w:val="center"/>
          </w:tcPr>
          <w:p w14:paraId="5772EEAB" w14:textId="77777777" w:rsidR="00975DC5" w:rsidRDefault="00000000">
            <w:pPr>
              <w:keepNext/>
              <w:keepLines/>
              <w:spacing w:after="0" w:line="240" w:lineRule="auto"/>
              <w:jc w:val="right"/>
            </w:pPr>
            <w:r>
              <w:rPr>
                <w:sz w:val="18"/>
              </w:rPr>
              <w:t>339.469,48</w:t>
            </w:r>
          </w:p>
        </w:tc>
        <w:tc>
          <w:tcPr>
            <w:tcW w:w="700" w:type="dxa"/>
            <w:tcMar>
              <w:top w:w="0" w:type="dxa"/>
              <w:bottom w:w="0" w:type="dxa"/>
            </w:tcMar>
            <w:vAlign w:val="center"/>
          </w:tcPr>
          <w:p w14:paraId="6F3B084F" w14:textId="77777777" w:rsidR="00975DC5" w:rsidRDefault="00000000">
            <w:pPr>
              <w:keepNext/>
              <w:keepLines/>
              <w:spacing w:after="0" w:line="240" w:lineRule="auto"/>
              <w:jc w:val="right"/>
            </w:pPr>
            <w:r>
              <w:rPr>
                <w:sz w:val="18"/>
              </w:rPr>
              <w:t>55,7</w:t>
            </w:r>
          </w:p>
        </w:tc>
      </w:tr>
    </w:tbl>
    <w:p w14:paraId="04320191" w14:textId="77777777" w:rsidR="00975DC5" w:rsidRDefault="00975DC5">
      <w:pPr>
        <w:spacing w:after="0"/>
      </w:pPr>
    </w:p>
    <w:p w14:paraId="0D72CD2E" w14:textId="77777777" w:rsidR="00975DC5" w:rsidRDefault="00000000">
      <w:r>
        <w:t>Značajno smanjenje obveza za rashode poslovanja u odnosu na prethodno razdoblje, rezultat je uplate sredstava državnog proračuna krajem 2024. godine koja su evidentirana kao obveza za povrat zakupnicima državnog poljoprivrednog zemljišta koji su pretrpjeli štetu uslijed olujnog nevremena u srpnju 2023. godine temeljem odluke Vlade RH.</w:t>
      </w:r>
    </w:p>
    <w:p w14:paraId="0836055A" w14:textId="77777777" w:rsidR="00975DC5" w:rsidRDefault="00975DC5"/>
    <w:p w14:paraId="1B78048C" w14:textId="77777777" w:rsidR="00975DC5"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76E63F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5320D6"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1F9181"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1DBA96"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8BD339"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331D88"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00AC7F" w14:textId="77777777" w:rsidR="00975DC5" w:rsidRDefault="00000000">
            <w:pPr>
              <w:keepNext/>
              <w:keepLines/>
              <w:spacing w:after="0" w:line="240" w:lineRule="auto"/>
              <w:jc w:val="center"/>
            </w:pPr>
            <w:r>
              <w:rPr>
                <w:b/>
                <w:sz w:val="18"/>
              </w:rPr>
              <w:t>Indeks (%)</w:t>
            </w:r>
          </w:p>
        </w:tc>
      </w:tr>
      <w:tr w:rsidR="00975DC5" w14:paraId="349AA181" w14:textId="77777777">
        <w:tblPrEx>
          <w:tblCellMar>
            <w:top w:w="0" w:type="dxa"/>
            <w:bottom w:w="0" w:type="dxa"/>
          </w:tblCellMar>
        </w:tblPrEx>
        <w:trPr>
          <w:cantSplit/>
          <w:trHeight w:val="560"/>
        </w:trPr>
        <w:tc>
          <w:tcPr>
            <w:tcW w:w="700" w:type="dxa"/>
            <w:tcMar>
              <w:top w:w="0" w:type="dxa"/>
              <w:bottom w:w="0" w:type="dxa"/>
            </w:tcMar>
            <w:vAlign w:val="center"/>
          </w:tcPr>
          <w:p w14:paraId="7A2105FF" w14:textId="77777777" w:rsidR="00975DC5" w:rsidRDefault="00000000">
            <w:pPr>
              <w:keepNext/>
              <w:keepLines/>
              <w:spacing w:after="0" w:line="240" w:lineRule="auto"/>
            </w:pPr>
            <w:r>
              <w:rPr>
                <w:sz w:val="18"/>
              </w:rPr>
              <w:t>24</w:t>
            </w:r>
          </w:p>
        </w:tc>
        <w:tc>
          <w:tcPr>
            <w:tcW w:w="3180" w:type="dxa"/>
            <w:tcMar>
              <w:top w:w="0" w:type="dxa"/>
              <w:bottom w:w="0" w:type="dxa"/>
            </w:tcMar>
            <w:vAlign w:val="center"/>
          </w:tcPr>
          <w:p w14:paraId="5FEFF88D" w14:textId="77777777" w:rsidR="00975DC5"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141F2F3D" w14:textId="77777777" w:rsidR="00975DC5" w:rsidRDefault="00000000">
            <w:pPr>
              <w:keepNext/>
              <w:keepLines/>
              <w:spacing w:after="0" w:line="240" w:lineRule="auto"/>
            </w:pPr>
            <w:r>
              <w:rPr>
                <w:sz w:val="18"/>
              </w:rPr>
              <w:t>24</w:t>
            </w:r>
          </w:p>
        </w:tc>
        <w:tc>
          <w:tcPr>
            <w:tcW w:w="1860" w:type="dxa"/>
            <w:tcMar>
              <w:top w:w="0" w:type="dxa"/>
              <w:bottom w:w="0" w:type="dxa"/>
            </w:tcMar>
            <w:vAlign w:val="center"/>
          </w:tcPr>
          <w:p w14:paraId="0B63EDDD" w14:textId="77777777" w:rsidR="00975DC5" w:rsidRDefault="00000000">
            <w:pPr>
              <w:keepNext/>
              <w:keepLines/>
              <w:spacing w:after="0" w:line="240" w:lineRule="auto"/>
              <w:jc w:val="right"/>
            </w:pPr>
            <w:r>
              <w:rPr>
                <w:sz w:val="18"/>
              </w:rPr>
              <w:t>10.093,04</w:t>
            </w:r>
          </w:p>
        </w:tc>
        <w:tc>
          <w:tcPr>
            <w:tcW w:w="1860" w:type="dxa"/>
            <w:tcMar>
              <w:top w:w="0" w:type="dxa"/>
              <w:bottom w:w="0" w:type="dxa"/>
            </w:tcMar>
            <w:vAlign w:val="center"/>
          </w:tcPr>
          <w:p w14:paraId="13A8DB54" w14:textId="77777777" w:rsidR="00975DC5" w:rsidRDefault="00000000">
            <w:pPr>
              <w:keepNext/>
              <w:keepLines/>
              <w:spacing w:after="0" w:line="240" w:lineRule="auto"/>
              <w:jc w:val="right"/>
            </w:pPr>
            <w:r>
              <w:rPr>
                <w:sz w:val="18"/>
              </w:rPr>
              <w:t>224.578,61</w:t>
            </w:r>
          </w:p>
        </w:tc>
        <w:tc>
          <w:tcPr>
            <w:tcW w:w="700" w:type="dxa"/>
            <w:tcMar>
              <w:top w:w="0" w:type="dxa"/>
              <w:bottom w:w="0" w:type="dxa"/>
            </w:tcMar>
            <w:vAlign w:val="center"/>
          </w:tcPr>
          <w:p w14:paraId="4FF2E727" w14:textId="77777777" w:rsidR="00975DC5" w:rsidRDefault="00000000">
            <w:pPr>
              <w:keepNext/>
              <w:keepLines/>
              <w:spacing w:after="0" w:line="240" w:lineRule="auto"/>
              <w:jc w:val="right"/>
            </w:pPr>
            <w:r>
              <w:rPr>
                <w:sz w:val="18"/>
              </w:rPr>
              <w:t>2225,1</w:t>
            </w:r>
          </w:p>
        </w:tc>
      </w:tr>
    </w:tbl>
    <w:p w14:paraId="2B329FA4" w14:textId="77777777" w:rsidR="00975DC5" w:rsidRDefault="00975DC5">
      <w:pPr>
        <w:spacing w:after="0"/>
      </w:pPr>
    </w:p>
    <w:p w14:paraId="50231EE2" w14:textId="77777777" w:rsidR="00975DC5" w:rsidRDefault="00000000">
      <w:r>
        <w:t>Značajno povećanje obveza za nabavu nefinancijske imovine u odnosu na prethodno razdoblje, uglavnom je rezultat provedbe većeg broja investicijskih projekata, za koje je odobreno sufinanciranje nacionalnim sredstvima, ali dinamika uplate nije usklađena sa ispostavljenim situacijama za obavljene radove.</w:t>
      </w:r>
    </w:p>
    <w:p w14:paraId="6E64A8CD" w14:textId="77777777" w:rsidR="00975DC5" w:rsidRDefault="00975DC5"/>
    <w:p w14:paraId="26ACC579" w14:textId="77777777" w:rsidR="00975DC5"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235DAA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207651"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67E694"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59DD9"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855ED5" w14:textId="77777777" w:rsidR="00975DC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93D26C" w14:textId="77777777" w:rsidR="00975DC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FC1FD3" w14:textId="77777777" w:rsidR="00975DC5" w:rsidRDefault="00000000">
            <w:pPr>
              <w:keepNext/>
              <w:keepLines/>
              <w:spacing w:after="0" w:line="240" w:lineRule="auto"/>
              <w:jc w:val="center"/>
            </w:pPr>
            <w:r>
              <w:rPr>
                <w:b/>
                <w:sz w:val="18"/>
              </w:rPr>
              <w:t>Indeks (%)</w:t>
            </w:r>
          </w:p>
        </w:tc>
      </w:tr>
      <w:tr w:rsidR="00975DC5" w14:paraId="49380DA9" w14:textId="77777777">
        <w:tblPrEx>
          <w:tblCellMar>
            <w:top w:w="0" w:type="dxa"/>
            <w:bottom w:w="0" w:type="dxa"/>
          </w:tblCellMar>
        </w:tblPrEx>
        <w:trPr>
          <w:cantSplit/>
          <w:trHeight w:val="560"/>
        </w:trPr>
        <w:tc>
          <w:tcPr>
            <w:tcW w:w="700" w:type="dxa"/>
            <w:tcMar>
              <w:top w:w="0" w:type="dxa"/>
              <w:bottom w:w="0" w:type="dxa"/>
            </w:tcMar>
            <w:vAlign w:val="center"/>
          </w:tcPr>
          <w:p w14:paraId="5B50E094" w14:textId="77777777" w:rsidR="00975DC5" w:rsidRDefault="00000000">
            <w:pPr>
              <w:keepNext/>
              <w:keepLines/>
              <w:spacing w:after="0" w:line="240" w:lineRule="auto"/>
            </w:pPr>
            <w:r>
              <w:rPr>
                <w:sz w:val="18"/>
              </w:rPr>
              <w:t>911</w:t>
            </w:r>
          </w:p>
        </w:tc>
        <w:tc>
          <w:tcPr>
            <w:tcW w:w="3180" w:type="dxa"/>
            <w:tcMar>
              <w:top w:w="0" w:type="dxa"/>
              <w:bottom w:w="0" w:type="dxa"/>
            </w:tcMar>
            <w:vAlign w:val="center"/>
          </w:tcPr>
          <w:p w14:paraId="48C46847" w14:textId="77777777" w:rsidR="00975DC5" w:rsidRDefault="00000000">
            <w:pPr>
              <w:keepNext/>
              <w:keepLines/>
              <w:spacing w:after="0" w:line="240" w:lineRule="auto"/>
            </w:pPr>
            <w:r>
              <w:rPr>
                <w:sz w:val="18"/>
              </w:rPr>
              <w:t>Vlastiti izvori</w:t>
            </w:r>
          </w:p>
        </w:tc>
        <w:tc>
          <w:tcPr>
            <w:tcW w:w="700" w:type="dxa"/>
            <w:tcMar>
              <w:top w:w="0" w:type="dxa"/>
              <w:bottom w:w="0" w:type="dxa"/>
            </w:tcMar>
            <w:vAlign w:val="center"/>
          </w:tcPr>
          <w:p w14:paraId="31E155D1" w14:textId="77777777" w:rsidR="00975DC5" w:rsidRDefault="00000000">
            <w:pPr>
              <w:keepNext/>
              <w:keepLines/>
              <w:spacing w:after="0" w:line="240" w:lineRule="auto"/>
            </w:pPr>
            <w:r>
              <w:rPr>
                <w:sz w:val="18"/>
              </w:rPr>
              <w:t>911</w:t>
            </w:r>
          </w:p>
        </w:tc>
        <w:tc>
          <w:tcPr>
            <w:tcW w:w="1860" w:type="dxa"/>
            <w:tcMar>
              <w:top w:w="0" w:type="dxa"/>
              <w:bottom w:w="0" w:type="dxa"/>
            </w:tcMar>
            <w:vAlign w:val="center"/>
          </w:tcPr>
          <w:p w14:paraId="2CA60D97" w14:textId="77777777" w:rsidR="00975DC5" w:rsidRDefault="00000000">
            <w:pPr>
              <w:keepNext/>
              <w:keepLines/>
              <w:spacing w:after="0" w:line="240" w:lineRule="auto"/>
              <w:jc w:val="right"/>
            </w:pPr>
            <w:r>
              <w:rPr>
                <w:sz w:val="18"/>
              </w:rPr>
              <w:t>6.389.561,21</w:t>
            </w:r>
          </w:p>
        </w:tc>
        <w:tc>
          <w:tcPr>
            <w:tcW w:w="1860" w:type="dxa"/>
            <w:tcMar>
              <w:top w:w="0" w:type="dxa"/>
              <w:bottom w:w="0" w:type="dxa"/>
            </w:tcMar>
            <w:vAlign w:val="center"/>
          </w:tcPr>
          <w:p w14:paraId="79642B73" w14:textId="77777777" w:rsidR="00975DC5" w:rsidRDefault="00000000">
            <w:pPr>
              <w:keepNext/>
              <w:keepLines/>
              <w:spacing w:after="0" w:line="240" w:lineRule="auto"/>
              <w:jc w:val="right"/>
            </w:pPr>
            <w:r>
              <w:rPr>
                <w:sz w:val="18"/>
              </w:rPr>
              <w:t>7.085.310,93</w:t>
            </w:r>
          </w:p>
        </w:tc>
        <w:tc>
          <w:tcPr>
            <w:tcW w:w="700" w:type="dxa"/>
            <w:tcMar>
              <w:top w:w="0" w:type="dxa"/>
              <w:bottom w:w="0" w:type="dxa"/>
            </w:tcMar>
            <w:vAlign w:val="center"/>
          </w:tcPr>
          <w:p w14:paraId="12E3D391" w14:textId="77777777" w:rsidR="00975DC5" w:rsidRDefault="00000000">
            <w:pPr>
              <w:keepNext/>
              <w:keepLines/>
              <w:spacing w:after="0" w:line="240" w:lineRule="auto"/>
              <w:jc w:val="right"/>
            </w:pPr>
            <w:r>
              <w:rPr>
                <w:sz w:val="18"/>
              </w:rPr>
              <w:t>110,9</w:t>
            </w:r>
          </w:p>
        </w:tc>
      </w:tr>
    </w:tbl>
    <w:p w14:paraId="0670D7C7" w14:textId="77777777" w:rsidR="00975DC5" w:rsidRDefault="00975DC5">
      <w:pPr>
        <w:spacing w:after="0"/>
      </w:pPr>
    </w:p>
    <w:p w14:paraId="3212966E" w14:textId="77777777" w:rsidR="00975DC5" w:rsidRDefault="00000000">
      <w:r>
        <w:t>Vlastiti izvori financiranja zadržali su stabilnu razinu, a poslovanje je vođeno u skladu s načelom financijske odgovornosti.</w:t>
      </w:r>
    </w:p>
    <w:p w14:paraId="0E21C917" w14:textId="77777777" w:rsidR="00975DC5" w:rsidRDefault="00975DC5"/>
    <w:p w14:paraId="412C23A3" w14:textId="77777777" w:rsidR="00975DC5" w:rsidRDefault="00000000">
      <w:pPr>
        <w:keepNext/>
        <w:spacing w:line="240" w:lineRule="auto"/>
        <w:jc w:val="center"/>
      </w:pPr>
      <w:r>
        <w:rPr>
          <w:b/>
          <w:sz w:val="28"/>
        </w:rPr>
        <w:t>Promjene u vrijednosti i obujmu imovine i obveza</w:t>
      </w:r>
    </w:p>
    <w:p w14:paraId="55600B77" w14:textId="77777777" w:rsidR="00975DC5"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75DC5" w14:paraId="3B2C3F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4B99B"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71664C"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E362B"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0F12E" w14:textId="77777777" w:rsidR="00975DC5"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0D13838" w14:textId="77777777" w:rsidR="00975DC5"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5669343" w14:textId="77777777" w:rsidR="00975DC5" w:rsidRDefault="00000000">
            <w:pPr>
              <w:keepNext/>
              <w:keepLines/>
              <w:spacing w:after="0" w:line="240" w:lineRule="auto"/>
              <w:jc w:val="center"/>
            </w:pPr>
            <w:r>
              <w:rPr>
                <w:b/>
                <w:sz w:val="18"/>
              </w:rPr>
              <w:t>Indeks (%)</w:t>
            </w:r>
          </w:p>
        </w:tc>
      </w:tr>
      <w:tr w:rsidR="00975DC5" w14:paraId="01E7DA4E" w14:textId="77777777">
        <w:tblPrEx>
          <w:tblCellMar>
            <w:top w:w="0" w:type="dxa"/>
            <w:bottom w:w="0" w:type="dxa"/>
          </w:tblCellMar>
        </w:tblPrEx>
        <w:trPr>
          <w:cantSplit/>
          <w:trHeight w:val="560"/>
        </w:trPr>
        <w:tc>
          <w:tcPr>
            <w:tcW w:w="700" w:type="dxa"/>
            <w:tcMar>
              <w:top w:w="0" w:type="dxa"/>
              <w:bottom w:w="0" w:type="dxa"/>
            </w:tcMar>
            <w:vAlign w:val="center"/>
          </w:tcPr>
          <w:p w14:paraId="2B98090B" w14:textId="77777777" w:rsidR="00975DC5" w:rsidRDefault="00000000">
            <w:pPr>
              <w:keepNext/>
              <w:keepLines/>
              <w:spacing w:after="0" w:line="240" w:lineRule="auto"/>
            </w:pPr>
            <w:r>
              <w:rPr>
                <w:sz w:val="18"/>
              </w:rPr>
              <w:t>9151</w:t>
            </w:r>
          </w:p>
        </w:tc>
        <w:tc>
          <w:tcPr>
            <w:tcW w:w="3180" w:type="dxa"/>
            <w:tcMar>
              <w:top w:w="0" w:type="dxa"/>
              <w:bottom w:w="0" w:type="dxa"/>
            </w:tcMar>
            <w:vAlign w:val="center"/>
          </w:tcPr>
          <w:p w14:paraId="029FAA9D" w14:textId="77777777" w:rsidR="00975DC5"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426104AE" w14:textId="77777777" w:rsidR="00975DC5" w:rsidRDefault="00000000">
            <w:pPr>
              <w:keepNext/>
              <w:keepLines/>
              <w:spacing w:after="0" w:line="240" w:lineRule="auto"/>
            </w:pPr>
            <w:r>
              <w:rPr>
                <w:sz w:val="18"/>
              </w:rPr>
              <w:t>9151</w:t>
            </w:r>
          </w:p>
        </w:tc>
        <w:tc>
          <w:tcPr>
            <w:tcW w:w="1860" w:type="dxa"/>
            <w:tcMar>
              <w:top w:w="0" w:type="dxa"/>
              <w:bottom w:w="0" w:type="dxa"/>
            </w:tcMar>
            <w:vAlign w:val="center"/>
          </w:tcPr>
          <w:p w14:paraId="1EFD512B" w14:textId="77777777" w:rsidR="00975DC5" w:rsidRDefault="00000000">
            <w:pPr>
              <w:keepNext/>
              <w:keepLines/>
              <w:spacing w:after="0" w:line="240" w:lineRule="auto"/>
              <w:jc w:val="right"/>
            </w:pPr>
            <w:r>
              <w:rPr>
                <w:sz w:val="18"/>
              </w:rPr>
              <w:t>0,00</w:t>
            </w:r>
          </w:p>
        </w:tc>
        <w:tc>
          <w:tcPr>
            <w:tcW w:w="1860" w:type="dxa"/>
            <w:tcMar>
              <w:top w:w="0" w:type="dxa"/>
              <w:bottom w:w="0" w:type="dxa"/>
            </w:tcMar>
            <w:vAlign w:val="center"/>
          </w:tcPr>
          <w:p w14:paraId="771FB3D0" w14:textId="77777777" w:rsidR="00975DC5" w:rsidRDefault="00000000">
            <w:pPr>
              <w:keepNext/>
              <w:keepLines/>
              <w:spacing w:after="0" w:line="240" w:lineRule="auto"/>
              <w:jc w:val="right"/>
            </w:pPr>
            <w:r>
              <w:rPr>
                <w:sz w:val="18"/>
              </w:rPr>
              <w:t>35.205,05</w:t>
            </w:r>
          </w:p>
        </w:tc>
        <w:tc>
          <w:tcPr>
            <w:tcW w:w="700" w:type="dxa"/>
            <w:tcMar>
              <w:top w:w="0" w:type="dxa"/>
              <w:bottom w:w="0" w:type="dxa"/>
            </w:tcMar>
            <w:vAlign w:val="center"/>
          </w:tcPr>
          <w:p w14:paraId="1642208F" w14:textId="77777777" w:rsidR="00975DC5" w:rsidRDefault="00000000">
            <w:pPr>
              <w:keepNext/>
              <w:keepLines/>
              <w:spacing w:after="0" w:line="240" w:lineRule="auto"/>
              <w:jc w:val="right"/>
            </w:pPr>
            <w:r>
              <w:rPr>
                <w:sz w:val="18"/>
              </w:rPr>
              <w:t>-</w:t>
            </w:r>
          </w:p>
        </w:tc>
      </w:tr>
    </w:tbl>
    <w:p w14:paraId="36AE9956" w14:textId="77777777" w:rsidR="00975DC5" w:rsidRDefault="00975DC5">
      <w:pPr>
        <w:spacing w:after="0"/>
      </w:pPr>
    </w:p>
    <w:p w14:paraId="633D3828" w14:textId="77777777" w:rsidR="00975DC5" w:rsidRDefault="00000000">
      <w:r>
        <w:t>U izvještajnom razdoblju ostvarene su promjene u vrijednosti i obujmu imovine u iznosu 35.205,05 eura, a odnose se na smanjenje vrijednosti i obujma imovine prodajom poslovnih udjela u trgovačkom društvu Polet Vinkovci d.o.o., prodajom građevinskog zemljišta i obiteljske kuće u suvlasništvu Općine Tovarnik.</w:t>
      </w:r>
    </w:p>
    <w:p w14:paraId="3EA0450D" w14:textId="77777777" w:rsidR="00975DC5" w:rsidRDefault="00975DC5"/>
    <w:p w14:paraId="2585DA7E" w14:textId="77777777" w:rsidR="00975DC5" w:rsidRDefault="00000000">
      <w:pPr>
        <w:keepNext/>
        <w:spacing w:line="240" w:lineRule="auto"/>
        <w:jc w:val="center"/>
      </w:pPr>
      <w:r>
        <w:rPr>
          <w:b/>
          <w:sz w:val="28"/>
        </w:rPr>
        <w:lastRenderedPageBreak/>
        <w:t>Izvještaj o obvezama</w:t>
      </w:r>
    </w:p>
    <w:p w14:paraId="1B1BD44A" w14:textId="77777777" w:rsidR="00975DC5"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75DC5" w14:paraId="6C54EC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ABDD6C" w14:textId="77777777" w:rsidR="00975DC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5A3719" w14:textId="77777777" w:rsidR="00975DC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00A323" w14:textId="77777777" w:rsidR="00975DC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F1C4D" w14:textId="77777777" w:rsidR="00975DC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6DA4B8" w14:textId="77777777" w:rsidR="00975DC5" w:rsidRDefault="00000000">
            <w:pPr>
              <w:keepNext/>
              <w:keepLines/>
              <w:spacing w:after="0" w:line="240" w:lineRule="auto"/>
              <w:jc w:val="center"/>
            </w:pPr>
            <w:r>
              <w:rPr>
                <w:b/>
                <w:sz w:val="18"/>
              </w:rPr>
              <w:t>Indeks (%)</w:t>
            </w:r>
          </w:p>
        </w:tc>
      </w:tr>
      <w:tr w:rsidR="00975DC5" w14:paraId="66CECE0F" w14:textId="77777777">
        <w:tblPrEx>
          <w:tblCellMar>
            <w:top w:w="0" w:type="dxa"/>
            <w:bottom w:w="0" w:type="dxa"/>
          </w:tblCellMar>
        </w:tblPrEx>
        <w:trPr>
          <w:cantSplit/>
          <w:trHeight w:val="560"/>
        </w:trPr>
        <w:tc>
          <w:tcPr>
            <w:tcW w:w="700" w:type="dxa"/>
            <w:tcMar>
              <w:top w:w="0" w:type="dxa"/>
              <w:bottom w:w="0" w:type="dxa"/>
            </w:tcMar>
            <w:vAlign w:val="center"/>
          </w:tcPr>
          <w:p w14:paraId="10FA2E6D" w14:textId="77777777" w:rsidR="00975DC5" w:rsidRDefault="00975DC5">
            <w:pPr>
              <w:keepNext/>
              <w:keepLines/>
              <w:spacing w:after="0" w:line="240" w:lineRule="auto"/>
            </w:pPr>
          </w:p>
        </w:tc>
        <w:tc>
          <w:tcPr>
            <w:tcW w:w="3180" w:type="dxa"/>
            <w:tcMar>
              <w:top w:w="0" w:type="dxa"/>
              <w:bottom w:w="0" w:type="dxa"/>
            </w:tcMar>
            <w:vAlign w:val="center"/>
          </w:tcPr>
          <w:p w14:paraId="68D3C72A" w14:textId="77777777" w:rsidR="00975DC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F8C7F9C" w14:textId="77777777" w:rsidR="00975DC5" w:rsidRDefault="00000000">
            <w:pPr>
              <w:keepNext/>
              <w:keepLines/>
              <w:spacing w:after="0" w:line="240" w:lineRule="auto"/>
            </w:pPr>
            <w:r>
              <w:rPr>
                <w:sz w:val="18"/>
              </w:rPr>
              <w:t>V007</w:t>
            </w:r>
          </w:p>
        </w:tc>
        <w:tc>
          <w:tcPr>
            <w:tcW w:w="1860" w:type="dxa"/>
            <w:tcMar>
              <w:top w:w="0" w:type="dxa"/>
              <w:bottom w:w="0" w:type="dxa"/>
            </w:tcMar>
            <w:vAlign w:val="center"/>
          </w:tcPr>
          <w:p w14:paraId="6C0845FB" w14:textId="77777777" w:rsidR="00975DC5" w:rsidRDefault="00000000">
            <w:pPr>
              <w:keepNext/>
              <w:keepLines/>
              <w:spacing w:after="0" w:line="240" w:lineRule="auto"/>
              <w:jc w:val="right"/>
            </w:pPr>
            <w:r>
              <w:rPr>
                <w:sz w:val="18"/>
              </w:rPr>
              <w:t>332.161,54</w:t>
            </w:r>
          </w:p>
        </w:tc>
        <w:tc>
          <w:tcPr>
            <w:tcW w:w="700" w:type="dxa"/>
            <w:tcMar>
              <w:top w:w="0" w:type="dxa"/>
              <w:bottom w:w="0" w:type="dxa"/>
            </w:tcMar>
            <w:vAlign w:val="center"/>
          </w:tcPr>
          <w:p w14:paraId="1471A4DF" w14:textId="77777777" w:rsidR="00975DC5" w:rsidRDefault="00000000">
            <w:pPr>
              <w:keepNext/>
              <w:keepLines/>
              <w:spacing w:after="0" w:line="240" w:lineRule="auto"/>
              <w:jc w:val="right"/>
            </w:pPr>
            <w:r>
              <w:rPr>
                <w:sz w:val="18"/>
              </w:rPr>
              <w:t>-</w:t>
            </w:r>
          </w:p>
        </w:tc>
      </w:tr>
    </w:tbl>
    <w:p w14:paraId="26C4077E" w14:textId="77777777" w:rsidR="00975DC5" w:rsidRDefault="00975DC5">
      <w:pPr>
        <w:spacing w:after="0"/>
      </w:pPr>
    </w:p>
    <w:p w14:paraId="496031C8" w14:textId="77777777" w:rsidR="00975DC5" w:rsidRDefault="00000000">
      <w:r>
        <w:t>Dospjele obveze na kraju izvještajnog razdoblja iznose 332.161.54 eura, a odnose se na obveze za rashode poslovanja u iznosu od 210.326,30 eura i obveze za nabavu nefinancijske imovine u iznosu od 44.955,69 eura.</w:t>
      </w:r>
    </w:p>
    <w:p w14:paraId="0A62AAAA" w14:textId="77777777" w:rsidR="00975DC5" w:rsidRDefault="00000000">
      <w:r>
        <w:t>Struktura obveza i planirani prihodi nisu bili optimalno usklađeni što je rezultiralo privremenim prekoračenjem rokova plaćanja, iako su u planu podmirenja svih obveza u što skorijem razdoblju. Također, tijekom izvještajnog razdoblja zabilježeno je povećanje troškova što nije u potpunosti bilo predviđeno financijskim planom, zbog čega je došlo do pritiska na likvidna sredstva.</w:t>
      </w:r>
    </w:p>
    <w:p w14:paraId="0639E98B" w14:textId="77777777" w:rsidR="00975DC5" w:rsidRDefault="00975DC5"/>
    <w:p w14:paraId="76C12C4B" w14:textId="77777777" w:rsidR="00975DC5" w:rsidRDefault="00000000">
      <w:pPr>
        <w:keepNext/>
        <w:spacing w:line="240" w:lineRule="auto"/>
        <w:jc w:val="center"/>
      </w:pPr>
      <w:r>
        <w:rPr>
          <w:sz w:val="28"/>
        </w:rPr>
        <w:t>Bilješka 25.</w:t>
      </w:r>
    </w:p>
    <w:p w14:paraId="6BCD3F4A" w14:textId="77777777" w:rsidR="00975DC5" w:rsidRDefault="00000000">
      <w:pPr>
        <w:spacing w:line="240" w:lineRule="auto"/>
        <w:jc w:val="both"/>
      </w:pPr>
      <w:r>
        <w:rPr>
          <w:b/>
        </w:rPr>
        <w:t>EU izvještaj</w:t>
      </w:r>
    </w:p>
    <w:p w14:paraId="3C01F870" w14:textId="77777777" w:rsidR="00975DC5" w:rsidRDefault="00000000">
      <w:r>
        <w:t>Prihodi poslovanja su u odnosu na prethodno razdoblje povećani za 34,1%, a rezultat su uplate pomoći temeljem prijenosa EU sredstava za provedbu projekta Zaželi – Brinemo o vama!</w:t>
      </w:r>
    </w:p>
    <w:p w14:paraId="32A4B296" w14:textId="77777777" w:rsidR="00975DC5" w:rsidRDefault="00000000">
      <w:r>
        <w:t>Provedba projekta je započela u travnju 2024. godine, dok se u 2025. godini provodio tijekom cijelog izvještajnog razdoblja. U 2024. godini uplaćen je predujam u iznosu 247.500,00 eura te su uplaćena sredstva po drugom ZNS-u u iznosu od 59.669,98 eura. U 2025. godini izvršena je uplata za iduća četiri ZNS-a u ukupnom iznosu 412.011,72 eura.</w:t>
      </w:r>
    </w:p>
    <w:p w14:paraId="7363EC6C" w14:textId="77777777" w:rsidR="00975DC5" w:rsidRDefault="00000000">
      <w:r>
        <w:t> </w:t>
      </w:r>
    </w:p>
    <w:p w14:paraId="5B71D375" w14:textId="77777777" w:rsidR="00975DC5" w:rsidRDefault="00000000">
      <w:r>
        <w:t>Rashodi poslovanja su u odnosu na prethodno razdoblje povećani za 91,1%, a rezultat su u najvećoj mjeri povećanja rashoda za zaposlene s obzirom da se projekt provodio tijekom cijele 2025. godine, dok je u 2024. provedba započela u travnju. Povećanje minimalne plaće tijekom 2025. godine je također uzrokovalo povećanje rashoda za zaposlene.</w:t>
      </w:r>
    </w:p>
    <w:p w14:paraId="38CA22D2" w14:textId="77777777" w:rsidR="00975DC5" w:rsidRDefault="00975DC5"/>
    <w:sectPr w:rsidR="00975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C5"/>
    <w:rsid w:val="00882BF4"/>
    <w:rsid w:val="00975DC5"/>
    <w:rsid w:val="00A029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6100"/>
  <w15:docId w15:val="{2D57BFD9-4F7E-486C-AFB8-59F6261C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2258</Words>
  <Characters>12871</Characters>
  <Application>Microsoft Office Word</Application>
  <DocSecurity>0</DocSecurity>
  <Lines>107</Lines>
  <Paragraphs>30</Paragraphs>
  <ScaleCrop>false</ScaleCrop>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Tovarnik</cp:lastModifiedBy>
  <cp:revision>2</cp:revision>
  <dcterms:created xsi:type="dcterms:W3CDTF">2026-02-16T14:43:00Z</dcterms:created>
  <dcterms:modified xsi:type="dcterms:W3CDTF">2026-02-16T14:43:00Z</dcterms:modified>
</cp:coreProperties>
</file>