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a089e23f4408b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37121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OPĆINA TOVARNIK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22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1.122.289,96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1.361.683,25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121,3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970.967,11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1.314.099,85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135,3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151.322,85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47.583,40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31,4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780,00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255.121,34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292.999,45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114,8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255.121,34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292.219,45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114,5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103.798,49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244.636,05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235,7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 izvještajnom razdoblju (01.01.2025. - 30.06.2025.) Općina Tovarnik ostvarila je sljedeći rezultat poslovanja:
Ukupni prihodi poslovanja (šifra 6) iznose 1.361.683,25 eura, dok ukupni rashodi poslovanja (šifra 3) iznose 1.314.099,85 eura. Razlika ukupno ostvarenih prihoda i rashoda poslovanja čini višak prihoda poslovanja (šifra X001) u iznosu od 47.583,40 eura.
Ukupni prihodi od prodaje nefinancijske imovine (šifra 7) iznose 780,00 eura, dok ukupni rashodi za nabavu nefinancijske (šifra 4) iznose 292.999,45 eura. Razlika ukupno ostvarenih prihoda i rashoda od prodaje odnosno nabave nefinancijske imovine čini manjak prihoda od nefinancijske imovine (šifra Y002) u iznosu od 292.219,45 eura.
Razlikom viška prihoda poslovanja (šifra X001) i manjka prihoda od nefinancijske imovine (šifra Y002) ostvaren je manjak prihoda i primitaka (šifra Y005) u iznosu od 244.636,05 eura.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119.720,08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Dospjele obveze na kraju izvještajnog razdoblja iznose 119.720,08 eura, a odnose se na obveze za materijalne rashode u iznosu od 57.100,46 eura, obveze za subvencije u iznosu od 365,00 eura, obveze za donacije, kazne, naknade šteta i kapitalne pomoći u iznosu od 1.508,32 eura, ostale tekuće obveze u iznosu od 43.424,34 eura koje se odnose na polog jamstva na sto godina za reciklažno dvorište u iznosu od 43.350,50 eura te obveze za NUV u iznosu od 73,84 eura, obveze za nabavu nefinancijske imovine u iznosu od 17.321,96 eura.
Struktura obveza i planirani prihodi nisu bili optimalno usklađeni što je rezultiralo privremenim prekoračenjem rokova plaćanja, iako su u planu podmirenja svih dugova u što skorijem razdoblju. Također, tijekom izvještajnog razdoblja zabilježeno je povećanje troškova što nije u potpunosti bilo predviđeno financijskim planom, zbog čega je došlo do pritiska na likvidna sredstva.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754e26cfb4a62" /></Relationships>
</file>