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3a0d546e2f4b56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37121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TOVARNIK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1.668.368,64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2.185.450,98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1.557.401,38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1.853.754,71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110.967,26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331.696,27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298,9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10.513,34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287.918,90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580.410,54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201,6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287.918,90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569.897,20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197,9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176.951,64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238.200,93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134,6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izvještajnom razdoblju (01.01.2025. - 30.09.2025.) Općina Tovarnik ostvarila je sljedeći rezultat poslovanja: Ukupni prihodi poslovanja (šifra 6) iznose 2.185.450,98 eura, dok ukupni rashodi poslovanja (šifra 3) iznose 1.853.754,71 eura. Razlika ukupno ostvarenih prihoda i rashoda poslovanja čini višak prihoda poslovanja (šifra X001) u iznosu od 331.696,27 eura. Ukupni prihodi od prodaje nefinancijske imovine (šifra 7) iznose 10.513,34 eura, dok ukupni rashodi za nabavu nefinancijske (šifra 4) iznose 580.410,54 eura. Razlika ukupno ostvarenih prihoda i rashoda od prodaje odnosno nabave nefinancijske imovine čini manjak prihoda od nefinancijske imovine (šifra Y002) u iznosu od 569.897,20 eura. Razlikom viška prihoda poslovanja (šifra X001) i manjka prihoda od nefinancijske imovine (šifra Y002) ostvaren je manjak prihoda i primitaka (šifra Y005) u iznosu od 238.200,93 eura.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176.982,50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Dospjele obveze na kraju izvještajnog razdoblja iznose 176.982,50 eura, a odnose se na obveze za rashode poslovanja u iznosu od 83.594,24 eura, koji obuhvaćaju materijalne rashode u iznosu od 34.428,51 eura, obveze za subvencije u iznosu od 365,00 eura, obveze za donacije, kazne, naknade šteta i kapitalne pomoći u iznosu od 5.440,27 eura i ostale tekuće obveze u iznosu od 43.350,50 eura koje se odnose na polog jamstva na sto godina za reciklažno dvorište; obveze za nabavu nefinancijske imovine u iznosu od 91.618,35 eura te obveze za predujmove, depozite, jamčevne pologe i tuđe prihode u iznosu od 1.769,91 eura. Struktura obveza i planirani prihodi nisu bili optimalno usklađeni što je rezultiralo privremenim prekoračenjem rokova plaćanja, iako su u planu podmirenja svih dugova u što skorijem razdoblju. Također, tijekom izvještajnog razdoblja zabilježeno je povećanje troškova što nije u potpunosti bilo predviđeno financijskim planom, zbog čega je došlo do pritiska na likvidna sredstva.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0733604435442f" /></Relationships>
</file>