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4B1" w14:textId="0C28ED12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16D35">
        <w:rPr>
          <w:rFonts w:ascii="Times New Roman" w:eastAsia="Calibri" w:hAnsi="Times New Roman" w:cs="Times New Roman"/>
          <w:noProof/>
        </w:rPr>
        <w:t xml:space="preserve">                     </w:t>
      </w:r>
      <w:r w:rsidRPr="00516D35">
        <w:rPr>
          <w:rFonts w:ascii="Times New Roman" w:eastAsia="Calibri" w:hAnsi="Times New Roman" w:cs="Times New Roman"/>
          <w:noProof/>
        </w:rPr>
        <w:object w:dxaOrig="1176" w:dyaOrig="1532" w14:anchorId="6EF4F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79.8pt" o:ole="">
            <v:imagedata r:id="rId6" o:title=""/>
          </v:shape>
          <o:OLEObject Type="Embed" ProgID="CorelPhotoPaint.Image.6" ShapeID="_x0000_i1025" DrawAspect="Content" ObjectID="_1741174404" r:id="rId7"/>
        </w:object>
      </w:r>
    </w:p>
    <w:p w14:paraId="4D20B3B9" w14:textId="77777777" w:rsidR="00516D35" w:rsidRPr="00516D35" w:rsidRDefault="00516D35" w:rsidP="00516D3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A9BAFD9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41B60A66" w14:textId="18DF1015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965984" wp14:editId="76E06066">
            <wp:simplePos x="0" y="0"/>
            <wp:positionH relativeFrom="column">
              <wp:posOffset>-4445</wp:posOffset>
            </wp:positionH>
            <wp:positionV relativeFrom="paragraph">
              <wp:posOffset>86360</wp:posOffset>
            </wp:positionV>
            <wp:extent cx="371475" cy="467995"/>
            <wp:effectExtent l="0" t="0" r="9525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FB9BA8D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TOVARNIIK</w:t>
      </w:r>
    </w:p>
    <w:p w14:paraId="1336A8B7" w14:textId="6C5FBEF9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</w:p>
    <w:p w14:paraId="32F320C4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CC018" w14:textId="747056CA" w:rsidR="00516D35" w:rsidRPr="008E4F0B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bookmarkStart w:id="0" w:name="_Hlk130561592"/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024-12/2</w:t>
      </w:r>
      <w:r w:rsidR="005E4E7E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02670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E4F0B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bookmarkEnd w:id="0"/>
    <w:p w14:paraId="19A217BC" w14:textId="4ED891C5" w:rsidR="00516D35" w:rsidRPr="008E4F0B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bookmarkStart w:id="1" w:name="_Hlk130561605"/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219</w:t>
      </w:r>
      <w:r w:rsidR="005E4E7E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4E7E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-03-2</w:t>
      </w:r>
      <w:r w:rsidR="005E4E7E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</w:t>
      </w:r>
      <w:bookmarkEnd w:id="1"/>
    </w:p>
    <w:p w14:paraId="7A7557EB" w14:textId="04F802E2" w:rsidR="00516D35" w:rsidRPr="008E4F0B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Tovarnik, </w:t>
      </w:r>
      <w:r w:rsidR="008E4F0B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5E4E7E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1701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</w:t>
      </w:r>
      <w:r w:rsidR="005E4E7E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691701"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8E4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BABD4C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CC7E0" w14:textId="0845060E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bookmarkStart w:id="2" w:name="_Hlk129629357"/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10. stavka 2. i članka 12. stavka 2. Zakona o poljoprivrednom zemljištu (NN  broj 20/18, 115/18 i 98/19</w:t>
      </w:r>
      <w:r w:rsidR="00822BD7">
        <w:rPr>
          <w:rFonts w:ascii="Times New Roman" w:eastAsia="Times New Roman" w:hAnsi="Times New Roman" w:cs="Times New Roman"/>
          <w:sz w:val="24"/>
          <w:szCs w:val="24"/>
          <w:lang w:eastAsia="hr-HR"/>
        </w:rPr>
        <w:t>, 57/22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članka 4. stavka 2. Pravilnika o agrotehničkim mjerama („Narodne novine“  broj 22/19 )</w:t>
      </w:r>
      <w:bookmarkEnd w:id="2"/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članka 48. Statuta Općine Tovarnik („Službeni vjesnik“ Vukovarsko-srijemske županije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3/22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 načeln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Tovarnik donosi</w:t>
      </w:r>
    </w:p>
    <w:p w14:paraId="0C8CD038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CB7C8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5C3396B" w14:textId="77777777" w:rsidR="00516D35" w:rsidRPr="00516D35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Hlk129629630"/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GODIŠNJE IZVJEŠĆE </w:t>
      </w:r>
    </w:p>
    <w:p w14:paraId="7D7E7577" w14:textId="77777777" w:rsidR="00516D35" w:rsidRPr="00516D35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primjeni agrotehničkih mjera i mjera za održavanje poljoprivrednih rudina </w:t>
      </w:r>
    </w:p>
    <w:p w14:paraId="776D4DE3" w14:textId="48BAE8A6" w:rsidR="00516D35" w:rsidRPr="00516D35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134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516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  <w:bookmarkEnd w:id="3"/>
    </w:p>
    <w:p w14:paraId="375200D1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FF6156F" w14:textId="259FCD49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1. UVOD</w:t>
      </w:r>
    </w:p>
    <w:p w14:paraId="7EA13669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15A5A" w14:textId="193D29FC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Tovarnik na sjednici održanoj 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>23.05.2020.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Odluku o agrotehničkim mjerama za zaštitu poljoprivrednog zemljišta, mjerama za uređivanje i održavanje  poljoprivrednih rudina, te posebnim mjerama zaštite od požara na poljoprivrednom zemljištu u Općini Tovarnik („Službeni vjesnik“ Vukovarsko-srijemske županije br. </w:t>
      </w:r>
      <w:r w:rsidR="00202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8/20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dalje u tekstu: Odluka).</w:t>
      </w:r>
    </w:p>
    <w:p w14:paraId="73E3DA13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10. stavku 2. i članku 12. stavku 2. Zakona o poljoprivrednom zemljištu, jedinica lokalne samouprave dostavlja Ministarstvu poljoprivrede i Hrvatskoj agenciji za poljoprivredu i hranu godišnje izvješće o primjeni mjera propisanih Odlukom.</w:t>
      </w:r>
    </w:p>
    <w:p w14:paraId="073211A1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AF161" w14:textId="77777777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2. AGROTEHNIČKE MJERE</w:t>
      </w:r>
    </w:p>
    <w:p w14:paraId="386AF04E" w14:textId="77777777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991A08C" w14:textId="41E0F1D0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 posjednici poljoprivrednog zemljišta na području Općine Tovarnik  pridržavali su se svih odredbi Odluke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134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62C90E3F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47C99" w14:textId="77777777" w:rsidR="00516D35" w:rsidRPr="00516D35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 vlasnici i posjednici poljoprivrednog zemljišta primijenili su slijedeće agrotehničke mjere: </w:t>
      </w:r>
    </w:p>
    <w:p w14:paraId="369CE122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minimalnu razinu obrade i održavanja poljoprivrednog zemljišta, </w:t>
      </w:r>
    </w:p>
    <w:p w14:paraId="3B75B03D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sprečavali su zakorovljenost i obrastanja višegodišnjim raslinjem, </w:t>
      </w:r>
    </w:p>
    <w:p w14:paraId="2CF6FAAA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suzbijali su biljne bolesti i štetnike, </w:t>
      </w:r>
    </w:p>
    <w:p w14:paraId="19FB11D2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koristili su i uništavali biljne ostatke na propisan način, </w:t>
      </w:r>
    </w:p>
    <w:p w14:paraId="4FE75265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vodili su računa o održavanju organskih tvari u tlu, </w:t>
      </w:r>
    </w:p>
    <w:p w14:paraId="7850D3DD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održavali su povoljnu strukturu tla,</w:t>
      </w:r>
    </w:p>
    <w:p w14:paraId="4FDCCA0F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zaštitu od erozije nije bilo potrebno provoditi jer na području Općine Tovarnik nema </w:t>
      </w:r>
    </w:p>
    <w:p w14:paraId="64407631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opasnosti od erozije poljoprivrednog zemljišta</w:t>
      </w:r>
    </w:p>
    <w:p w14:paraId="1803205A" w14:textId="77777777" w:rsidR="00516D35" w:rsidRPr="00516D35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CDB69" w14:textId="77777777" w:rsidR="00516D35" w:rsidRPr="00516D35" w:rsidRDefault="00516D35" w:rsidP="00516D3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3. </w:t>
      </w:r>
      <w:r w:rsidRPr="00516D35">
        <w:rPr>
          <w:rFonts w:ascii="Times New Roman" w:eastAsia="Calibri" w:hAnsi="Times New Roman" w:cs="Times New Roman"/>
          <w:sz w:val="24"/>
          <w:szCs w:val="24"/>
          <w:u w:val="single"/>
        </w:rPr>
        <w:t>MJERE ZA UREĐIVANJE I ODRŽAVANJE POLJOPRIVREDNIH RUDINA</w:t>
      </w:r>
    </w:p>
    <w:p w14:paraId="617A2641" w14:textId="1AFE06A4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 posjednici poljoprivrednog zemljišta na području Općine Tovarnik  pridržavali su se svih odredbi Odluke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134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godini. </w:t>
      </w:r>
    </w:p>
    <w:p w14:paraId="261A8706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AAADF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vlasnici i posjednici poljoprivrednog zemljišta primijenili su slijedeće mjere za uređivanje i održavanje poljoprivrednih rudina:</w:t>
      </w:r>
    </w:p>
    <w:p w14:paraId="2E3A27F8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održavanje međa vrši se u skladu s Odlukom</w:t>
      </w:r>
    </w:p>
    <w:p w14:paraId="081C31B5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poljski putevi održavaju se redovito i u dogovoru s Općinom Tovarnik, na </w:t>
      </w:r>
    </w:p>
    <w:p w14:paraId="3CABB3B6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najkritičnijim mjestima nasipa se sa zemljom ili kamenom, a redovito se svake </w:t>
      </w:r>
    </w:p>
    <w:p w14:paraId="221A277C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godine radi nekoliko stotina metara novih </w:t>
      </w:r>
      <w:proofErr w:type="spellStart"/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otresnica</w:t>
      </w:r>
      <w:proofErr w:type="spellEnd"/>
    </w:p>
    <w:p w14:paraId="606975C5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kanali koji nisu u nadležnosti Hrvatskih voda održavaju se redovito</w:t>
      </w:r>
    </w:p>
    <w:p w14:paraId="48D7E979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sprečavanje zasjenjivanja susjednih čestica </w:t>
      </w:r>
    </w:p>
    <w:p w14:paraId="1E2497CF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- sadnja i održavanje vjetrobranskih pojaseva nije se primjenjivala</w:t>
      </w:r>
    </w:p>
    <w:p w14:paraId="7CE0934C" w14:textId="77777777" w:rsidR="00516D35" w:rsidRPr="00516D35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FC62A" w14:textId="364B991B" w:rsidR="00516D35" w:rsidRPr="00516D35" w:rsidRDefault="00516D35" w:rsidP="00516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 w:rsidRPr="00516D35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</w:t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TOVARNIK</w:t>
      </w:r>
    </w:p>
    <w:p w14:paraId="16E22755" w14:textId="33F74433" w:rsidR="00516D35" w:rsidRPr="00516D35" w:rsidRDefault="00516D35" w:rsidP="00516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Anđelko Dobročinac,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0B94D5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62A2D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BF7F5" w14:textId="19D4BBB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</w:t>
      </w:r>
      <w:r w:rsidRPr="009B1BA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Obrazac 1. </w:t>
      </w:r>
      <w:r w:rsidRPr="00516D35">
        <w:rPr>
          <w:rFonts w:ascii="Minion Pro" w:eastAsia="Times New Roman" w:hAnsi="Minion Pro" w:cs="Times New Roman"/>
          <w:i/>
          <w:iCs/>
          <w:sz w:val="20"/>
          <w:szCs w:val="20"/>
          <w:lang w:eastAsia="hr-HR"/>
        </w:rPr>
        <w:t>IZVJEŠĆE O PROVEDBI AGROTEHNIČKIH MJERA</w:t>
      </w:r>
    </w:p>
    <w:p w14:paraId="28541A14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9333D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2A784" w14:textId="77777777" w:rsidR="009B1BA3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9AEFB" w14:textId="663FA750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B9AB9E9" w14:textId="77777777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>1. Ministarstvu poljoprivrede, Ulica grada Vukovara 78, Zagreb</w:t>
      </w:r>
    </w:p>
    <w:p w14:paraId="09DAFA9C" w14:textId="7953180E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Hrvatskoj agenciji za poljoprivredu i hranu, </w:t>
      </w:r>
      <w:r w:rsidR="009B1BA3" w:rsidRPr="009B1BA3">
        <w:rPr>
          <w:rFonts w:ascii="Times New Roman" w:eastAsia="Times New Roman" w:hAnsi="Times New Roman" w:cs="Times New Roman"/>
          <w:sz w:val="24"/>
          <w:szCs w:val="24"/>
          <w:lang w:eastAsia="hr-HR"/>
        </w:rPr>
        <w:t>Vinkovačka cesta 63c, 31000 Osijek</w:t>
      </w:r>
    </w:p>
    <w:p w14:paraId="30CCF9C8" w14:textId="2D503BA0" w:rsidR="00516D35" w:rsidRPr="00516D35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9B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Tovarnik </w:t>
      </w:r>
    </w:p>
    <w:p w14:paraId="42972F98" w14:textId="77777777" w:rsidR="00516D35" w:rsidRPr="00516D35" w:rsidRDefault="00516D35" w:rsidP="00516D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A6A6A6"/>
          <w:sz w:val="16"/>
          <w:szCs w:val="16"/>
        </w:rPr>
      </w:pPr>
    </w:p>
    <w:p w14:paraId="4243F5B8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55FF829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5042D8DE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59030E2F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F3F4F2C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6FD8CD0C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0B94C8B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CE46765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7BF93F1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E0BC759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10AB2EE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E3255EE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8A01C32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4FC706E1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07F16D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63744D9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F2019D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7BB7A3DA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1256BA5D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1CCD2C97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1F767AA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4DC7A926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4443022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2E5E6EA4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407B688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8AD2AB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0970D3D3" w14:textId="77777777" w:rsidR="009B1BA3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i/>
          <w:iCs/>
          <w:sz w:val="20"/>
          <w:lang w:eastAsia="hr-HR"/>
        </w:rPr>
      </w:pPr>
    </w:p>
    <w:p w14:paraId="3D09AE10" w14:textId="664BEA85" w:rsidR="00516D35" w:rsidRPr="00516D35" w:rsidRDefault="00516D35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516D35">
        <w:rPr>
          <w:rFonts w:ascii="Minion Pro" w:eastAsia="Times New Roman" w:hAnsi="Minion Pro" w:cs="Times New Roman"/>
          <w:i/>
          <w:iCs/>
          <w:sz w:val="20"/>
          <w:lang w:eastAsia="hr-HR"/>
        </w:rPr>
        <w:t>Obrazac 1: </w:t>
      </w:r>
      <w:r w:rsidRPr="00516D35">
        <w:rPr>
          <w:rFonts w:ascii="Minion Pro" w:eastAsia="Times New Roman" w:hAnsi="Minion Pro" w:cs="Times New Roman"/>
          <w:sz w:val="20"/>
          <w:szCs w:val="20"/>
          <w:lang w:eastAsia="hr-HR"/>
        </w:rPr>
        <w:t>IZVJEŠĆE O PROVEDBI AGROTEHNIČKIH MJERA</w:t>
      </w:r>
    </w:p>
    <w:p w14:paraId="37677F78" w14:textId="77777777" w:rsidR="00516D35" w:rsidRPr="00516D35" w:rsidRDefault="00516D35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14:paraId="1891E867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ŽUPANIJA</w:t>
      </w:r>
      <w:r w:rsidRPr="00516D35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1</w:t>
      </w: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Pr="00516D3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Vukovarsko-srijemska</w:t>
      </w:r>
    </w:p>
    <w:p w14:paraId="308D67AC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OPĆINA/GRAD</w:t>
      </w:r>
      <w:r w:rsidRPr="00516D35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Pr="00516D3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Općina Tovarnik</w:t>
      </w:r>
    </w:p>
    <w:p w14:paraId="3BCF0A6D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16D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Ukupna površina poljoprivrednog zemljišta na području općine/grada:  </w:t>
      </w:r>
      <w:r w:rsidRPr="00516D3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5.500  ha</w:t>
      </w:r>
    </w:p>
    <w:p w14:paraId="10CFC261" w14:textId="77777777" w:rsidR="00516D35" w:rsidRPr="00516D35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PRIKAZ AGROTEHNIČKIH MJERA I NJIHOVA PROVEDBA NA PODRUČJU OPĆINE TOVARNIK ZA </w:t>
      </w:r>
    </w:p>
    <w:p w14:paraId="0D60C15B" w14:textId="3546B44B" w:rsidR="00516D35" w:rsidRPr="00516D35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516D3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</w:t>
      </w:r>
      <w:r w:rsidR="006134D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</w:t>
      </w:r>
      <w:r w:rsidRPr="00516D3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. GODINU</w:t>
      </w:r>
    </w:p>
    <w:p w14:paraId="53E689CA" w14:textId="77777777" w:rsidR="00516D35" w:rsidRPr="00516D35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tbl>
      <w:tblPr>
        <w:tblW w:w="12572" w:type="dxa"/>
        <w:tblInd w:w="4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610"/>
        <w:gridCol w:w="932"/>
        <w:gridCol w:w="1182"/>
        <w:gridCol w:w="889"/>
        <w:gridCol w:w="1830"/>
        <w:gridCol w:w="1879"/>
        <w:gridCol w:w="1547"/>
        <w:gridCol w:w="1985"/>
      </w:tblGrid>
      <w:tr w:rsidR="00516D35" w:rsidRPr="00DA0323" w14:paraId="08BDFBDB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0DA08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941F8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Naziv agrotehničkih mjera: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4917E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 li se mjera provodi, da/ne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E9D24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Nosioci nadzora provedbe mjera na terenu osobe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F260D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Broj nadzora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38E80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Broj postupanja (opomene/pisana upozorenja/ostalo)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E8CCF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Aktivne mjere poticanja provedbe agrotehničkih mjera od strane općina/gradova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9F8B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Problemi u provedbi Pravilnika o agrotehničkim mjerama na terenu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14FC5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NAPOMENA/OBRAZLOŽENJE (određene specifičnosti za područje jedinice lokalne samouprave/grada)</w:t>
            </w:r>
          </w:p>
        </w:tc>
      </w:tr>
      <w:tr w:rsidR="00516D35" w:rsidRPr="00DA0323" w14:paraId="0C71E8A6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3B860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54771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28A9A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BF38A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AB472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965E9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77615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9E6B0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3A65B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9.</w:t>
            </w:r>
          </w:p>
        </w:tc>
      </w:tr>
      <w:tr w:rsidR="00516D35" w:rsidRPr="00DA0323" w14:paraId="14BA6670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D7E3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4E00F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minimalna razina obrade i održavanja poljoprivrednog zemljišta povoljnim za uzgoj biljaka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4429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7BF7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814C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FF236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E4E6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918E1" w14:textId="5489D296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 xml:space="preserve">Nema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5AF6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7F01E358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88CB6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AFA8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sprječavanje zakorovljenosti i obrastanja višegodišnjim raslinjem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A1A23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6550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09B8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B98B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1EE2B99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703D" w14:textId="02B29F8C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9DF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0D00B576" w14:textId="77777777" w:rsidTr="00DA0323">
        <w:trPr>
          <w:trHeight w:val="116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BA647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6964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suzbijanje biljnih bolesti i štetnika,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339B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12886EB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CB564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7BD3C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3035CAC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FCF7" w14:textId="199F75E9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35856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50351C24" w14:textId="77777777" w:rsidTr="00597C47">
        <w:trPr>
          <w:trHeight w:val="126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E17A7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E4CD1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postupanje s biljnim ostatcima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5BE2C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D0D8C6E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27E9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E837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B7D6643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901D7" w14:textId="157B1A08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655A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53090C8F" w14:textId="77777777" w:rsidTr="00597C47">
        <w:trPr>
          <w:trHeight w:val="13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56107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81C1D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održavanje organske tvari i humusa u tlu,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B64D1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4A78F6D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618D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404E9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1D54CF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4DE9" w14:textId="6A9DBDD9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8ACC7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64DD14AB" w14:textId="77777777" w:rsidTr="00DA0323">
        <w:trPr>
          <w:trHeight w:val="12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3A19E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BF1CE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održavanje povoljne strukture tla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849A6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7FE28AA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E6E9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95ABA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8A627F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15C34" w14:textId="4089292A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2E5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1EA67389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EE142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45222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zaštita od erozije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9BD2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AD5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BCBBC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398B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C260E14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 provodi se jer nema potrebe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6E330" w14:textId="4BDCCC99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A50A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22467628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B0ED5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4E6D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gnojidba mineralnim i organskim gnojivima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8511E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CE0A3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A6E8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9D60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1F43917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ECE79" w14:textId="3B3EF2F0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A46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  <w:tr w:rsidR="00516D35" w:rsidRPr="00DA0323" w14:paraId="162CF732" w14:textId="77777777" w:rsidTr="00597C47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FB09B" w14:textId="77777777" w:rsidR="00516D35" w:rsidRPr="00DA0323" w:rsidRDefault="00516D35" w:rsidP="00516D3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625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odvodnje i navodnjavanje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206E3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E3D7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7A3D9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56F50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6CBFB5F" w14:textId="77777777" w:rsidR="00516D35" w:rsidRPr="00DA0323" w:rsidRDefault="00516D35" w:rsidP="00516D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Oglasne ploče, web stranica, sastanci s poljoprivrednicima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744E7" w14:textId="42E36FE0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  <w:r w:rsidRPr="00DA0323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  <w:t>Nema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B2024" w14:textId="77777777" w:rsidR="00516D35" w:rsidRPr="00DA0323" w:rsidRDefault="00516D35" w:rsidP="00516D3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  <w:lang w:eastAsia="hr-HR"/>
              </w:rPr>
            </w:pPr>
          </w:p>
        </w:tc>
      </w:tr>
    </w:tbl>
    <w:p w14:paraId="56140537" w14:textId="77777777" w:rsidR="00516D35" w:rsidRPr="00516D35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114CCC" w14:textId="77777777" w:rsidR="00F16D7A" w:rsidRDefault="00F16D7A"/>
    <w:sectPr w:rsidR="00F16D7A" w:rsidSect="00D41F4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1D85" w14:textId="77777777" w:rsidR="007B0F66" w:rsidRDefault="007B0F66">
      <w:pPr>
        <w:spacing w:after="0" w:line="240" w:lineRule="auto"/>
      </w:pPr>
      <w:r>
        <w:separator/>
      </w:r>
    </w:p>
  </w:endnote>
  <w:endnote w:type="continuationSeparator" w:id="0">
    <w:p w14:paraId="5CD50538" w14:textId="77777777" w:rsidR="007B0F66" w:rsidRDefault="007B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8F0" w14:textId="77777777" w:rsidR="00300774" w:rsidRDefault="00B150C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EACC9F" w14:textId="77777777" w:rsidR="00300774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5433" w14:textId="77777777" w:rsidR="007B0F66" w:rsidRDefault="007B0F66">
      <w:pPr>
        <w:spacing w:after="0" w:line="240" w:lineRule="auto"/>
      </w:pPr>
      <w:r>
        <w:separator/>
      </w:r>
    </w:p>
  </w:footnote>
  <w:footnote w:type="continuationSeparator" w:id="0">
    <w:p w14:paraId="1677DDF2" w14:textId="77777777" w:rsidR="007B0F66" w:rsidRDefault="007B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35"/>
    <w:rsid w:val="00202670"/>
    <w:rsid w:val="004C182E"/>
    <w:rsid w:val="00516D35"/>
    <w:rsid w:val="005E4E7E"/>
    <w:rsid w:val="006134DC"/>
    <w:rsid w:val="00616DD0"/>
    <w:rsid w:val="00691701"/>
    <w:rsid w:val="00717F73"/>
    <w:rsid w:val="007B0F66"/>
    <w:rsid w:val="007F5EB8"/>
    <w:rsid w:val="00822BD7"/>
    <w:rsid w:val="00833042"/>
    <w:rsid w:val="008E4F0B"/>
    <w:rsid w:val="00997A83"/>
    <w:rsid w:val="009B1BA3"/>
    <w:rsid w:val="00B150CD"/>
    <w:rsid w:val="00CC532F"/>
    <w:rsid w:val="00CF543A"/>
    <w:rsid w:val="00DA0323"/>
    <w:rsid w:val="00DE7E9D"/>
    <w:rsid w:val="00F16D7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C16"/>
  <w15:chartTrackingRefBased/>
  <w15:docId w15:val="{566C114D-FB5D-44EE-9457-54F7AF1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1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2023-03-14T07:51:00Z</cp:lastPrinted>
  <dcterms:created xsi:type="dcterms:W3CDTF">2023-03-24T13:47:00Z</dcterms:created>
  <dcterms:modified xsi:type="dcterms:W3CDTF">2023-03-24T13:47:00Z</dcterms:modified>
</cp:coreProperties>
</file>