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42B9" w14:textId="77777777" w:rsidR="00EB7C05" w:rsidRPr="00731D33" w:rsidRDefault="00EB7C05" w:rsidP="00EB7C05">
      <w:pPr>
        <w:rPr>
          <w:rFonts w:ascii="Book Antiqua" w:hAnsi="Book Antiqua"/>
          <w:sz w:val="22"/>
          <w:szCs w:val="22"/>
          <w:lang w:val="de-DE"/>
        </w:rPr>
      </w:pPr>
    </w:p>
    <w:p w14:paraId="4A43615D" w14:textId="77777777" w:rsidR="00EB7C05" w:rsidRPr="00731D33" w:rsidRDefault="00EB7C05" w:rsidP="00EB7C05">
      <w:pPr>
        <w:rPr>
          <w:rFonts w:ascii="Book Antiqua" w:hAnsi="Book Antiqua"/>
          <w:iCs/>
          <w:sz w:val="22"/>
          <w:szCs w:val="22"/>
        </w:rPr>
      </w:pPr>
    </w:p>
    <w:p w14:paraId="15FB026E" w14:textId="77777777" w:rsidR="00EB7C05" w:rsidRPr="00731D33" w:rsidRDefault="00EB7C05" w:rsidP="00EB7C05">
      <w:pPr>
        <w:rPr>
          <w:rFonts w:ascii="Book Antiqua" w:hAnsi="Book Antiqua"/>
          <w:iCs/>
          <w:sz w:val="22"/>
          <w:szCs w:val="22"/>
        </w:rPr>
      </w:pPr>
    </w:p>
    <w:p w14:paraId="5999010A" w14:textId="77777777" w:rsidR="00EB7C05" w:rsidRPr="00731D33" w:rsidRDefault="00EB7C05" w:rsidP="00EB7C05">
      <w:pPr>
        <w:jc w:val="both"/>
        <w:rPr>
          <w:rFonts w:ascii="Book Antiqua" w:hAnsi="Book Antiqua"/>
          <w:iCs/>
          <w:sz w:val="22"/>
          <w:szCs w:val="22"/>
        </w:rPr>
      </w:pPr>
    </w:p>
    <w:p w14:paraId="5DC9B69F" w14:textId="77777777" w:rsidR="00EB7C05" w:rsidRPr="00731D33" w:rsidRDefault="00EB7C05" w:rsidP="00EB7C05">
      <w:pPr>
        <w:jc w:val="both"/>
        <w:rPr>
          <w:rFonts w:ascii="Book Antiqua" w:hAnsi="Book Antiqua"/>
          <w:iCs/>
          <w:sz w:val="22"/>
          <w:szCs w:val="22"/>
        </w:rPr>
      </w:pPr>
    </w:p>
    <w:p w14:paraId="1E6FD15F" w14:textId="77777777" w:rsidR="00EB7C05" w:rsidRPr="00731D33" w:rsidRDefault="00EB7C05" w:rsidP="00EB7C05">
      <w:pPr>
        <w:tabs>
          <w:tab w:val="left" w:pos="709"/>
          <w:tab w:val="left" w:pos="7088"/>
        </w:tabs>
        <w:spacing w:after="160" w:line="259" w:lineRule="auto"/>
        <w:jc w:val="both"/>
        <w:rPr>
          <w:rFonts w:ascii="Book Antiqua" w:eastAsiaTheme="minorHAnsi" w:hAnsi="Book Antiqua" w:cstheme="minorBidi"/>
          <w:sz w:val="22"/>
          <w:szCs w:val="22"/>
          <w:lang w:eastAsia="en-US"/>
        </w:rPr>
      </w:pPr>
      <w:r w:rsidRPr="00731D33">
        <w:rPr>
          <w:rFonts w:ascii="Book Antiqua" w:eastAsiaTheme="minorHAnsi" w:hAnsi="Book Antiqua" w:cs="Calibri"/>
          <w:noProof/>
          <w:sz w:val="22"/>
          <w:szCs w:val="22"/>
          <w:lang w:eastAsia="en-US"/>
        </w:rPr>
        <w:drawing>
          <wp:anchor distT="0" distB="0" distL="114300" distR="114300" simplePos="0" relativeHeight="251659264" behindDoc="1" locked="0" layoutInCell="1" allowOverlap="1" wp14:anchorId="39C44AF1" wp14:editId="3A7BD87E">
            <wp:simplePos x="0" y="0"/>
            <wp:positionH relativeFrom="page">
              <wp:posOffset>1590040</wp:posOffset>
            </wp:positionH>
            <wp:positionV relativeFrom="margin">
              <wp:posOffset>-55880</wp:posOffset>
            </wp:positionV>
            <wp:extent cx="581025" cy="756562"/>
            <wp:effectExtent l="0" t="0" r="0" b="5715"/>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5656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9243730"/>
      <w:bookmarkStart w:id="1" w:name="_Hlk89244860"/>
      <w:bookmarkStart w:id="2" w:name="_Hlk85794546"/>
      <w:r w:rsidRPr="00731D33">
        <w:rPr>
          <w:rFonts w:ascii="Book Antiqua" w:eastAsiaTheme="minorHAnsi" w:hAnsi="Book Antiqua" w:cs="Calibri"/>
          <w:sz w:val="22"/>
          <w:szCs w:val="22"/>
          <w:lang w:eastAsia="en-US"/>
        </w:rPr>
        <w:t xml:space="preserve">REPUBLIKA HRVATSKA </w:t>
      </w:r>
    </w:p>
    <w:p w14:paraId="42BFFAA9" w14:textId="77777777" w:rsidR="00EB7C05" w:rsidRPr="00731D33" w:rsidRDefault="00EB7C05" w:rsidP="00EB7C05">
      <w:pPr>
        <w:widowControl w:val="0"/>
        <w:autoSpaceDE w:val="0"/>
        <w:autoSpaceDN w:val="0"/>
        <w:spacing w:line="276" w:lineRule="auto"/>
        <w:rPr>
          <w:rFonts w:ascii="Book Antiqua" w:eastAsiaTheme="minorHAnsi" w:hAnsi="Book Antiqua" w:cs="Calibri"/>
          <w:sz w:val="22"/>
          <w:szCs w:val="22"/>
          <w:lang w:eastAsia="en-US"/>
        </w:rPr>
      </w:pPr>
      <w:r w:rsidRPr="00731D33">
        <w:rPr>
          <w:rFonts w:ascii="Book Antiqua" w:eastAsiaTheme="minorHAnsi" w:hAnsi="Book Antiqua" w:cs="Calibri"/>
          <w:sz w:val="22"/>
          <w:szCs w:val="22"/>
          <w:lang w:eastAsia="en-US"/>
        </w:rPr>
        <w:t>VUKOVARSKO SRIJEMSKA ŽUPANIJA</w:t>
      </w:r>
    </w:p>
    <w:p w14:paraId="59FFF45E" w14:textId="77777777" w:rsidR="00EB7C05" w:rsidRPr="00731D33" w:rsidRDefault="00EB7C05" w:rsidP="00EB7C05">
      <w:pPr>
        <w:widowControl w:val="0"/>
        <w:autoSpaceDE w:val="0"/>
        <w:autoSpaceDN w:val="0"/>
        <w:spacing w:line="276" w:lineRule="auto"/>
        <w:rPr>
          <w:rFonts w:ascii="Book Antiqua" w:eastAsiaTheme="minorHAnsi" w:hAnsi="Book Antiqua" w:cs="Calibri"/>
          <w:sz w:val="22"/>
          <w:szCs w:val="22"/>
          <w:lang w:eastAsia="en-US"/>
        </w:rPr>
      </w:pPr>
      <w:r w:rsidRPr="00731D33">
        <w:rPr>
          <w:rFonts w:ascii="Book Antiqua" w:eastAsiaTheme="minorHAnsi" w:hAnsi="Book Antiqua" w:cs="Calibri"/>
          <w:noProof/>
          <w:sz w:val="22"/>
          <w:szCs w:val="22"/>
          <w:lang w:eastAsia="en-US"/>
        </w:rPr>
        <w:drawing>
          <wp:anchor distT="0" distB="0" distL="114300" distR="114300" simplePos="0" relativeHeight="251660288" behindDoc="0" locked="0" layoutInCell="1" allowOverlap="1" wp14:anchorId="3C2D248D" wp14:editId="2AE019B4">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D33">
        <w:rPr>
          <w:rFonts w:ascii="Book Antiqua" w:eastAsiaTheme="minorHAnsi" w:hAnsi="Book Antiqua" w:cs="Calibri"/>
          <w:sz w:val="22"/>
          <w:szCs w:val="22"/>
          <w:lang w:eastAsia="en-US"/>
        </w:rPr>
        <w:t xml:space="preserve"> </w:t>
      </w:r>
    </w:p>
    <w:p w14:paraId="4B4EA538" w14:textId="77777777" w:rsidR="00EB7C05" w:rsidRPr="00731D33" w:rsidRDefault="00EB7C05" w:rsidP="00EB7C05">
      <w:pPr>
        <w:widowControl w:val="0"/>
        <w:autoSpaceDE w:val="0"/>
        <w:autoSpaceDN w:val="0"/>
        <w:spacing w:line="276" w:lineRule="auto"/>
        <w:rPr>
          <w:rFonts w:ascii="Book Antiqua" w:eastAsiaTheme="minorHAnsi" w:hAnsi="Book Antiqua" w:cs="Calibri"/>
          <w:b/>
          <w:sz w:val="22"/>
          <w:szCs w:val="22"/>
          <w:lang w:eastAsia="en-US"/>
        </w:rPr>
      </w:pPr>
      <w:r w:rsidRPr="00731D33">
        <w:rPr>
          <w:rFonts w:ascii="Book Antiqua" w:eastAsiaTheme="minorHAnsi" w:hAnsi="Book Antiqua" w:cs="Calibri"/>
          <w:b/>
          <w:sz w:val="22"/>
          <w:szCs w:val="22"/>
          <w:lang w:eastAsia="en-US"/>
        </w:rPr>
        <w:t>OPĆINA TOVARNIK</w:t>
      </w:r>
    </w:p>
    <w:p w14:paraId="232544D7" w14:textId="77777777" w:rsidR="00EB7C05" w:rsidRPr="00731D33" w:rsidRDefault="00EB7C05" w:rsidP="00EB7C05">
      <w:pPr>
        <w:widowControl w:val="0"/>
        <w:autoSpaceDE w:val="0"/>
        <w:autoSpaceDN w:val="0"/>
        <w:spacing w:line="276" w:lineRule="auto"/>
        <w:rPr>
          <w:rFonts w:ascii="Book Antiqua" w:eastAsiaTheme="minorHAnsi" w:hAnsi="Book Antiqua" w:cs="Calibri"/>
          <w:b/>
          <w:sz w:val="22"/>
          <w:szCs w:val="22"/>
          <w:lang w:eastAsia="en-US"/>
        </w:rPr>
      </w:pPr>
      <w:r w:rsidRPr="00731D33">
        <w:rPr>
          <w:rFonts w:ascii="Book Antiqua" w:eastAsiaTheme="minorHAnsi" w:hAnsi="Book Antiqua" w:cs="Calibri"/>
          <w:b/>
          <w:sz w:val="22"/>
          <w:szCs w:val="22"/>
          <w:lang w:eastAsia="en-US"/>
        </w:rPr>
        <w:t xml:space="preserve"> </w:t>
      </w:r>
    </w:p>
    <w:p w14:paraId="67CEAA5E" w14:textId="77777777" w:rsidR="00EB7C05" w:rsidRPr="00731D33" w:rsidRDefault="00EB7C05" w:rsidP="00EB7C05">
      <w:pPr>
        <w:widowControl w:val="0"/>
        <w:autoSpaceDE w:val="0"/>
        <w:autoSpaceDN w:val="0"/>
        <w:spacing w:line="276" w:lineRule="auto"/>
        <w:rPr>
          <w:rFonts w:ascii="Book Antiqua" w:eastAsiaTheme="minorHAnsi" w:hAnsi="Book Antiqua" w:cs="Calibri"/>
          <w:b/>
          <w:sz w:val="22"/>
          <w:szCs w:val="22"/>
          <w:lang w:eastAsia="en-US"/>
        </w:rPr>
      </w:pPr>
    </w:p>
    <w:p w14:paraId="7E6AD62D" w14:textId="77777777" w:rsidR="00EB7C05" w:rsidRPr="00731D33" w:rsidRDefault="00EB7C05" w:rsidP="00EB7C05">
      <w:pPr>
        <w:widowControl w:val="0"/>
        <w:autoSpaceDE w:val="0"/>
        <w:autoSpaceDN w:val="0"/>
        <w:spacing w:line="276" w:lineRule="auto"/>
        <w:rPr>
          <w:rFonts w:ascii="Book Antiqua" w:eastAsiaTheme="minorHAnsi" w:hAnsi="Book Antiqua" w:cs="Calibri"/>
          <w:b/>
          <w:sz w:val="22"/>
          <w:szCs w:val="22"/>
          <w:lang w:eastAsia="en-US"/>
        </w:rPr>
      </w:pPr>
      <w:r w:rsidRPr="00731D33">
        <w:rPr>
          <w:rFonts w:ascii="Book Antiqua" w:eastAsiaTheme="minorHAnsi" w:hAnsi="Book Antiqua" w:cs="Calibri"/>
          <w:b/>
          <w:sz w:val="22"/>
          <w:szCs w:val="22"/>
          <w:lang w:eastAsia="en-US"/>
        </w:rPr>
        <w:t>OPĆINSKI NAČELNIK</w:t>
      </w:r>
    </w:p>
    <w:p w14:paraId="63A76A1E" w14:textId="77777777" w:rsidR="00EB7C05" w:rsidRPr="00731D33" w:rsidRDefault="00EB7C05" w:rsidP="00EB7C05">
      <w:pPr>
        <w:widowControl w:val="0"/>
        <w:autoSpaceDE w:val="0"/>
        <w:autoSpaceDN w:val="0"/>
        <w:spacing w:line="276" w:lineRule="auto"/>
        <w:rPr>
          <w:rFonts w:ascii="Book Antiqua" w:eastAsiaTheme="minorHAnsi" w:hAnsi="Book Antiqua" w:cs="Calibri"/>
          <w:b/>
          <w:sz w:val="22"/>
          <w:szCs w:val="22"/>
          <w:lang w:eastAsia="en-US"/>
        </w:rPr>
      </w:pPr>
    </w:p>
    <w:p w14:paraId="6CBF07B4" w14:textId="77777777" w:rsidR="001E3BAD" w:rsidRPr="00B17222" w:rsidRDefault="001E3BAD" w:rsidP="001E3BAD">
      <w:pPr>
        <w:widowControl w:val="0"/>
        <w:autoSpaceDE w:val="0"/>
        <w:autoSpaceDN w:val="0"/>
        <w:spacing w:line="259" w:lineRule="auto"/>
        <w:rPr>
          <w:rFonts w:ascii="Book Antiqua" w:eastAsia="Calibri" w:hAnsi="Book Antiqua" w:cs="Calibri"/>
          <w:sz w:val="22"/>
          <w:szCs w:val="22"/>
          <w:lang w:eastAsia="en-US"/>
        </w:rPr>
      </w:pPr>
      <w:r w:rsidRPr="00B17222">
        <w:rPr>
          <w:rFonts w:ascii="Book Antiqua" w:eastAsia="Calibri" w:hAnsi="Book Antiqua" w:cs="Calibri"/>
          <w:sz w:val="22"/>
          <w:szCs w:val="22"/>
          <w:lang w:eastAsia="en-US"/>
        </w:rPr>
        <w:t>KLASA: 024-03/22-01/48</w:t>
      </w:r>
    </w:p>
    <w:p w14:paraId="7797790D" w14:textId="77777777" w:rsidR="001E3BAD" w:rsidRPr="00B17222" w:rsidRDefault="001E3BAD" w:rsidP="001E3BAD">
      <w:pPr>
        <w:widowControl w:val="0"/>
        <w:autoSpaceDE w:val="0"/>
        <w:autoSpaceDN w:val="0"/>
        <w:spacing w:line="259" w:lineRule="auto"/>
        <w:rPr>
          <w:rFonts w:ascii="Book Antiqua" w:eastAsia="Calibri" w:hAnsi="Book Antiqua" w:cs="Calibri"/>
          <w:sz w:val="22"/>
          <w:szCs w:val="22"/>
          <w:lang w:eastAsia="en-US"/>
        </w:rPr>
      </w:pPr>
      <w:r w:rsidRPr="00B17222">
        <w:rPr>
          <w:rFonts w:ascii="Book Antiqua" w:eastAsia="Calibri" w:hAnsi="Book Antiqua" w:cs="Calibri"/>
          <w:sz w:val="22"/>
          <w:szCs w:val="22"/>
          <w:lang w:eastAsia="en-US"/>
        </w:rPr>
        <w:t>URBROJ: 2196-28-02-22-1</w:t>
      </w:r>
    </w:p>
    <w:p w14:paraId="28E92A5E" w14:textId="090BE0E3" w:rsidR="00EB7C05" w:rsidRPr="00731D33" w:rsidRDefault="001E3BAD" w:rsidP="001E3BAD">
      <w:pPr>
        <w:widowControl w:val="0"/>
        <w:autoSpaceDE w:val="0"/>
        <w:autoSpaceDN w:val="0"/>
        <w:spacing w:line="259" w:lineRule="auto"/>
        <w:rPr>
          <w:rFonts w:ascii="Book Antiqua" w:eastAsia="Calibri" w:hAnsi="Book Antiqua" w:cs="Calibri"/>
          <w:sz w:val="22"/>
          <w:szCs w:val="22"/>
          <w:lang w:eastAsia="en-US"/>
        </w:rPr>
      </w:pPr>
      <w:r w:rsidRPr="00731D33">
        <w:rPr>
          <w:rFonts w:ascii="Book Antiqua" w:eastAsia="Calibri" w:hAnsi="Book Antiqua" w:cs="Calibri"/>
          <w:sz w:val="22"/>
          <w:szCs w:val="22"/>
          <w:lang w:eastAsia="en-US"/>
        </w:rPr>
        <w:t xml:space="preserve">Tovarnik, </w:t>
      </w:r>
      <w:r>
        <w:rPr>
          <w:rFonts w:ascii="Book Antiqua" w:eastAsia="Calibri" w:hAnsi="Book Antiqua" w:cs="Calibri"/>
          <w:sz w:val="22"/>
          <w:szCs w:val="22"/>
          <w:lang w:eastAsia="en-US"/>
        </w:rPr>
        <w:t>12.</w:t>
      </w:r>
      <w:r w:rsidRPr="00731D33">
        <w:rPr>
          <w:rFonts w:ascii="Book Antiqua" w:eastAsia="Calibri" w:hAnsi="Book Antiqua" w:cs="Calibri"/>
          <w:sz w:val="22"/>
          <w:szCs w:val="22"/>
          <w:lang w:eastAsia="en-US"/>
        </w:rPr>
        <w:t>0</w:t>
      </w:r>
      <w:r>
        <w:rPr>
          <w:rFonts w:ascii="Book Antiqua" w:eastAsia="Calibri" w:hAnsi="Book Antiqua" w:cs="Calibri"/>
          <w:sz w:val="22"/>
          <w:szCs w:val="22"/>
          <w:lang w:eastAsia="en-US"/>
        </w:rPr>
        <w:t>8</w:t>
      </w:r>
      <w:r w:rsidRPr="00731D33">
        <w:rPr>
          <w:rFonts w:ascii="Book Antiqua" w:eastAsia="Calibri" w:hAnsi="Book Antiqua" w:cs="Calibri"/>
          <w:sz w:val="22"/>
          <w:szCs w:val="22"/>
          <w:lang w:eastAsia="en-US"/>
        </w:rPr>
        <w:t>.2022</w:t>
      </w:r>
      <w:r w:rsidR="00EB7C05" w:rsidRPr="00731D33">
        <w:rPr>
          <w:rFonts w:ascii="Book Antiqua" w:eastAsia="Calibri" w:hAnsi="Book Antiqua" w:cs="Calibri"/>
          <w:sz w:val="22"/>
          <w:szCs w:val="22"/>
          <w:lang w:eastAsia="en-US"/>
        </w:rPr>
        <w:t xml:space="preserve">.  </w:t>
      </w:r>
    </w:p>
    <w:p w14:paraId="08173BCC" w14:textId="77777777" w:rsidR="00EB7C05" w:rsidRPr="00731D33" w:rsidRDefault="00EB7C05" w:rsidP="00EB7C05">
      <w:pPr>
        <w:widowControl w:val="0"/>
        <w:autoSpaceDE w:val="0"/>
        <w:autoSpaceDN w:val="0"/>
        <w:spacing w:line="259" w:lineRule="auto"/>
        <w:rPr>
          <w:rFonts w:ascii="Book Antiqua" w:eastAsiaTheme="minorHAnsi" w:hAnsi="Book Antiqua" w:cs="Calibri"/>
          <w:sz w:val="22"/>
          <w:szCs w:val="22"/>
          <w:lang w:eastAsia="en-US"/>
        </w:rPr>
      </w:pPr>
    </w:p>
    <w:p w14:paraId="33E7C321" w14:textId="77777777" w:rsidR="00EB7C05" w:rsidRPr="00731D33" w:rsidRDefault="00EB7C05" w:rsidP="00EB7C05">
      <w:pPr>
        <w:widowControl w:val="0"/>
        <w:autoSpaceDE w:val="0"/>
        <w:autoSpaceDN w:val="0"/>
        <w:spacing w:line="276" w:lineRule="auto"/>
        <w:rPr>
          <w:rFonts w:ascii="Book Antiqua" w:eastAsiaTheme="minorHAnsi" w:hAnsi="Book Antiqua" w:cs="Calibri"/>
          <w:b/>
          <w:sz w:val="22"/>
          <w:szCs w:val="22"/>
          <w:lang w:eastAsia="en-US"/>
        </w:rPr>
      </w:pPr>
    </w:p>
    <w:bookmarkEnd w:id="0"/>
    <w:bookmarkEnd w:id="1"/>
    <w:bookmarkEnd w:id="2"/>
    <w:p w14:paraId="1EB704FD" w14:textId="38B1B7A1" w:rsidR="00932534" w:rsidRPr="00731D33" w:rsidRDefault="00932534">
      <w:pPr>
        <w:rPr>
          <w:rFonts w:ascii="Book Antiqua" w:hAnsi="Book Antiqua"/>
          <w:sz w:val="22"/>
          <w:szCs w:val="22"/>
        </w:rPr>
      </w:pPr>
    </w:p>
    <w:p w14:paraId="320EEE4E" w14:textId="522D5DAF" w:rsidR="00EB7C05" w:rsidRPr="00731D33" w:rsidRDefault="00EB7C05" w:rsidP="00EB7C05">
      <w:pPr>
        <w:spacing w:line="276" w:lineRule="auto"/>
        <w:jc w:val="both"/>
        <w:rPr>
          <w:rFonts w:ascii="Book Antiqua" w:eastAsia="Calibri" w:hAnsi="Book Antiqua"/>
          <w:sz w:val="22"/>
          <w:szCs w:val="22"/>
          <w:lang w:eastAsia="en-US"/>
        </w:rPr>
      </w:pPr>
      <w:r w:rsidRPr="00731D33">
        <w:rPr>
          <w:rFonts w:ascii="Book Antiqua" w:eastAsia="Calibri" w:hAnsi="Book Antiqua"/>
          <w:sz w:val="22"/>
          <w:szCs w:val="22"/>
          <w:lang w:eastAsia="en-US"/>
        </w:rPr>
        <w:t xml:space="preserve">Na temelju članka </w:t>
      </w:r>
      <w:r w:rsidR="00CB37A7">
        <w:rPr>
          <w:rFonts w:ascii="Book Antiqua" w:eastAsia="Calibri" w:hAnsi="Book Antiqua"/>
          <w:sz w:val="22"/>
          <w:szCs w:val="22"/>
          <w:lang w:eastAsia="en-US"/>
        </w:rPr>
        <w:t xml:space="preserve">113. Zakona o gospodarenju otpadom (NN 84/219) a i vezi s člankom </w:t>
      </w:r>
      <w:r w:rsidRPr="00731D33">
        <w:rPr>
          <w:rFonts w:ascii="Book Antiqua" w:eastAsia="Calibri" w:hAnsi="Book Antiqua"/>
          <w:sz w:val="22"/>
          <w:szCs w:val="22"/>
          <w:lang w:eastAsia="en-US"/>
        </w:rPr>
        <w:t xml:space="preserve">31. Statuta Općine Tovarnik („Službeni vjesnik“  Vukovarsko-srijemske županije, broj 3/22) Općinsko vijeće Općine Tovarnik na </w:t>
      </w:r>
      <w:r w:rsidR="00F24442" w:rsidRPr="00731D33">
        <w:rPr>
          <w:rFonts w:ascii="Book Antiqua" w:eastAsia="Calibri" w:hAnsi="Book Antiqua"/>
          <w:sz w:val="22"/>
          <w:szCs w:val="22"/>
          <w:lang w:eastAsia="en-US"/>
        </w:rPr>
        <w:t>11</w:t>
      </w:r>
      <w:r w:rsidRPr="00731D33">
        <w:rPr>
          <w:rFonts w:ascii="Book Antiqua" w:eastAsia="Calibri" w:hAnsi="Book Antiqua"/>
          <w:sz w:val="22"/>
          <w:szCs w:val="22"/>
          <w:lang w:eastAsia="en-US"/>
        </w:rPr>
        <w:t xml:space="preserve">.  sjednici, održanoj </w:t>
      </w:r>
      <w:r w:rsidR="00F35833" w:rsidRPr="00731D33">
        <w:rPr>
          <w:rFonts w:ascii="Book Antiqua" w:eastAsia="Calibri" w:hAnsi="Book Antiqua"/>
          <w:sz w:val="22"/>
          <w:szCs w:val="22"/>
          <w:lang w:eastAsia="en-US"/>
        </w:rPr>
        <w:t>12. kolovoza 2022.</w:t>
      </w:r>
      <w:r w:rsidRPr="00731D33">
        <w:rPr>
          <w:rFonts w:ascii="Book Antiqua" w:eastAsia="Calibri" w:hAnsi="Book Antiqua"/>
          <w:sz w:val="22"/>
          <w:szCs w:val="22"/>
          <w:lang w:eastAsia="en-US"/>
        </w:rPr>
        <w:t xml:space="preserve"> godine, donosi</w:t>
      </w:r>
    </w:p>
    <w:p w14:paraId="01D8F936" w14:textId="77777777" w:rsidR="00EB7C05" w:rsidRPr="00731D33" w:rsidRDefault="00EB7C05" w:rsidP="00EB7C05">
      <w:pPr>
        <w:spacing w:after="200" w:line="276" w:lineRule="auto"/>
        <w:rPr>
          <w:rFonts w:ascii="Book Antiqua" w:eastAsia="Calibri" w:hAnsi="Book Antiqua"/>
          <w:sz w:val="22"/>
          <w:szCs w:val="22"/>
          <w:lang w:eastAsia="en-US"/>
        </w:rPr>
      </w:pPr>
    </w:p>
    <w:p w14:paraId="4FE32815" w14:textId="77777777" w:rsidR="00F35833" w:rsidRPr="00731D33" w:rsidRDefault="00F35833" w:rsidP="00F35833">
      <w:pPr>
        <w:spacing w:line="276" w:lineRule="auto"/>
        <w:jc w:val="center"/>
        <w:rPr>
          <w:rFonts w:ascii="Book Antiqua" w:hAnsi="Book Antiqua"/>
          <w:b/>
          <w:sz w:val="22"/>
          <w:szCs w:val="22"/>
        </w:rPr>
      </w:pPr>
      <w:r w:rsidRPr="00731D33">
        <w:rPr>
          <w:rFonts w:ascii="Book Antiqua" w:hAnsi="Book Antiqua"/>
          <w:b/>
          <w:sz w:val="22"/>
          <w:szCs w:val="22"/>
        </w:rPr>
        <w:t>O D L U K U</w:t>
      </w:r>
    </w:p>
    <w:p w14:paraId="58859B19" w14:textId="77777777" w:rsidR="00F35833" w:rsidRPr="00731D33" w:rsidRDefault="00F35833" w:rsidP="00F35833">
      <w:pPr>
        <w:spacing w:line="276" w:lineRule="auto"/>
        <w:jc w:val="center"/>
        <w:rPr>
          <w:rFonts w:ascii="Book Antiqua" w:hAnsi="Book Antiqua"/>
          <w:b/>
          <w:sz w:val="22"/>
          <w:szCs w:val="22"/>
        </w:rPr>
      </w:pPr>
      <w:r w:rsidRPr="00731D33">
        <w:rPr>
          <w:rFonts w:ascii="Book Antiqua" w:hAnsi="Book Antiqua"/>
          <w:b/>
          <w:sz w:val="22"/>
          <w:szCs w:val="22"/>
        </w:rPr>
        <w:t xml:space="preserve">o sprječavanju protuzakonitog odbacivanja otpada i mjerama za uklanjanje protuzakonito odbačenog otpada na području Općine Tovarnik </w:t>
      </w:r>
    </w:p>
    <w:p w14:paraId="431F0DA3" w14:textId="66EA91AB" w:rsidR="00B74A40" w:rsidRPr="00731D33" w:rsidRDefault="00F24442" w:rsidP="00B74A40">
      <w:pPr>
        <w:jc w:val="center"/>
        <w:rPr>
          <w:rFonts w:ascii="Book Antiqua" w:eastAsia="Calibri" w:hAnsi="Book Antiqua"/>
          <w:b/>
          <w:sz w:val="22"/>
          <w:szCs w:val="22"/>
          <w:lang w:eastAsia="en-US"/>
        </w:rPr>
      </w:pPr>
      <w:r w:rsidRPr="00731D33">
        <w:rPr>
          <w:rFonts w:ascii="Book Antiqua" w:eastAsiaTheme="minorHAnsi" w:hAnsi="Book Antiqua" w:cs="Calibri"/>
          <w:b/>
          <w:bCs/>
          <w:sz w:val="22"/>
          <w:szCs w:val="22"/>
          <w:u w:color="000000"/>
          <w:lang w:eastAsia="en-US"/>
        </w:rPr>
        <w:t xml:space="preserve"> </w:t>
      </w:r>
      <w:r w:rsidR="00B74A40" w:rsidRPr="00731D33">
        <w:rPr>
          <w:rFonts w:ascii="Book Antiqua" w:eastAsia="Calibri" w:hAnsi="Book Antiqua"/>
          <w:b/>
          <w:sz w:val="22"/>
          <w:szCs w:val="22"/>
          <w:lang w:eastAsia="en-US"/>
        </w:rPr>
        <w:t xml:space="preserve"> </w:t>
      </w:r>
    </w:p>
    <w:p w14:paraId="2FE81805" w14:textId="75EE33D5" w:rsidR="00A57B41" w:rsidRPr="00731D33" w:rsidRDefault="00A57B41" w:rsidP="00B74A40">
      <w:pPr>
        <w:jc w:val="center"/>
        <w:rPr>
          <w:rFonts w:ascii="Book Antiqua" w:eastAsia="Calibri" w:hAnsi="Book Antiqua"/>
          <w:b/>
          <w:sz w:val="22"/>
          <w:szCs w:val="22"/>
          <w:lang w:eastAsia="en-US"/>
        </w:rPr>
      </w:pPr>
    </w:p>
    <w:p w14:paraId="4E475F2D" w14:textId="77777777" w:rsidR="00A57B41" w:rsidRPr="00731D33" w:rsidRDefault="00A57B41" w:rsidP="00B74A40">
      <w:pPr>
        <w:jc w:val="center"/>
        <w:rPr>
          <w:rFonts w:ascii="Book Antiqua" w:eastAsia="Calibri" w:hAnsi="Book Antiqua"/>
          <w:b/>
          <w:sz w:val="22"/>
          <w:szCs w:val="22"/>
          <w:lang w:eastAsia="en-US"/>
        </w:rPr>
      </w:pPr>
    </w:p>
    <w:p w14:paraId="7169CE25" w14:textId="77777777" w:rsidR="00F35833" w:rsidRPr="00731D33" w:rsidRDefault="00F35833" w:rsidP="00F35833">
      <w:pPr>
        <w:spacing w:line="276" w:lineRule="auto"/>
        <w:jc w:val="center"/>
        <w:rPr>
          <w:rFonts w:ascii="Book Antiqua" w:hAnsi="Book Antiqua"/>
          <w:b/>
          <w:sz w:val="22"/>
          <w:szCs w:val="22"/>
        </w:rPr>
      </w:pPr>
      <w:bookmarkStart w:id="3" w:name="_Hlk101877692"/>
      <w:r w:rsidRPr="00731D33">
        <w:rPr>
          <w:rFonts w:ascii="Book Antiqua" w:hAnsi="Book Antiqua"/>
          <w:b/>
          <w:sz w:val="22"/>
          <w:szCs w:val="22"/>
        </w:rPr>
        <w:t>Članak 1.</w:t>
      </w:r>
    </w:p>
    <w:p w14:paraId="03165968" w14:textId="77777777" w:rsidR="00F35833" w:rsidRPr="00731D33" w:rsidRDefault="00F35833" w:rsidP="00F35833">
      <w:pPr>
        <w:spacing w:line="276" w:lineRule="auto"/>
        <w:jc w:val="both"/>
        <w:rPr>
          <w:rFonts w:ascii="Book Antiqua" w:hAnsi="Book Antiqua"/>
          <w:sz w:val="22"/>
          <w:szCs w:val="22"/>
        </w:rPr>
      </w:pPr>
    </w:p>
    <w:p w14:paraId="0B7096EB"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 xml:space="preserve">Ovom Odlukom određuju se mjere za sprječavanje protuzakonitog odbacivanja otpada i mjere za uklanjanje protuzakonito odbačenog otpada u okoliš na području Općine Tovarnik, naselja Tovarnik i </w:t>
      </w:r>
      <w:proofErr w:type="spellStart"/>
      <w:r w:rsidRPr="00731D33">
        <w:rPr>
          <w:rFonts w:ascii="Book Antiqua" w:hAnsi="Book Antiqua"/>
          <w:sz w:val="22"/>
          <w:szCs w:val="22"/>
        </w:rPr>
        <w:t>Ilača</w:t>
      </w:r>
      <w:proofErr w:type="spellEnd"/>
    </w:p>
    <w:p w14:paraId="795A6852" w14:textId="77777777" w:rsidR="00F35833" w:rsidRPr="00731D33" w:rsidRDefault="00F35833" w:rsidP="00F35833">
      <w:pPr>
        <w:spacing w:line="276" w:lineRule="auto"/>
        <w:jc w:val="both"/>
        <w:rPr>
          <w:rFonts w:ascii="Book Antiqua" w:hAnsi="Book Antiqua"/>
          <w:sz w:val="22"/>
          <w:szCs w:val="22"/>
        </w:rPr>
      </w:pPr>
    </w:p>
    <w:p w14:paraId="1C611668" w14:textId="77777777" w:rsidR="00F35833" w:rsidRPr="00731D33" w:rsidRDefault="00F35833" w:rsidP="00F35833">
      <w:pPr>
        <w:spacing w:line="276" w:lineRule="auto"/>
        <w:jc w:val="center"/>
        <w:rPr>
          <w:rFonts w:ascii="Book Antiqua" w:hAnsi="Book Antiqua"/>
          <w:b/>
          <w:sz w:val="22"/>
          <w:szCs w:val="22"/>
        </w:rPr>
      </w:pPr>
      <w:r w:rsidRPr="00731D33">
        <w:rPr>
          <w:rFonts w:ascii="Book Antiqua" w:hAnsi="Book Antiqua"/>
          <w:b/>
          <w:sz w:val="22"/>
          <w:szCs w:val="22"/>
        </w:rPr>
        <w:t xml:space="preserve">Članak 2. </w:t>
      </w:r>
    </w:p>
    <w:p w14:paraId="53A54B74" w14:textId="77777777" w:rsidR="00F35833" w:rsidRPr="00731D33" w:rsidRDefault="00F35833" w:rsidP="00F35833">
      <w:pPr>
        <w:spacing w:line="276" w:lineRule="auto"/>
        <w:jc w:val="both"/>
        <w:rPr>
          <w:rFonts w:ascii="Book Antiqua" w:hAnsi="Book Antiqua"/>
          <w:sz w:val="22"/>
          <w:szCs w:val="22"/>
        </w:rPr>
      </w:pPr>
    </w:p>
    <w:p w14:paraId="074C7969"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Protuzakonito odbačenim otpadom, u smislu ove Odluke je</w:t>
      </w:r>
      <w:r w:rsidRPr="00731D33">
        <w:rPr>
          <w:rFonts w:ascii="Book Antiqua" w:hAnsi="Book Antiqua"/>
          <w:color w:val="231F20"/>
          <w:sz w:val="22"/>
          <w:szCs w:val="22"/>
          <w:shd w:val="clear" w:color="auto" w:fill="FFFFFF"/>
        </w:rPr>
        <w:t xml:space="preserve"> svako ostavljanje, napuštanje, odbacivanje ili odlaganje otpada izvan lokacije gospodarenja otpadom i ne odnosi se na mjesto primopredaje otpada u sklopu javne usluge sakupljanja komunalnog otpada.</w:t>
      </w:r>
      <w:r w:rsidRPr="00731D33">
        <w:rPr>
          <w:rFonts w:ascii="Book Antiqua" w:hAnsi="Book Antiqua"/>
          <w:sz w:val="22"/>
          <w:szCs w:val="22"/>
        </w:rPr>
        <w:t xml:space="preserve"> </w:t>
      </w:r>
    </w:p>
    <w:p w14:paraId="0855D7F3" w14:textId="77777777" w:rsidR="00731D33" w:rsidRDefault="00731D33" w:rsidP="00F35833">
      <w:pPr>
        <w:spacing w:line="276" w:lineRule="auto"/>
        <w:jc w:val="center"/>
        <w:rPr>
          <w:rFonts w:ascii="Book Antiqua" w:hAnsi="Book Antiqua"/>
          <w:b/>
          <w:sz w:val="22"/>
          <w:szCs w:val="22"/>
        </w:rPr>
      </w:pPr>
    </w:p>
    <w:p w14:paraId="1BDA6393" w14:textId="310AD9E4" w:rsidR="00F35833" w:rsidRPr="00731D33" w:rsidRDefault="00F35833" w:rsidP="00F35833">
      <w:pPr>
        <w:spacing w:line="276" w:lineRule="auto"/>
        <w:jc w:val="center"/>
        <w:rPr>
          <w:rFonts w:ascii="Book Antiqua" w:hAnsi="Book Antiqua"/>
          <w:b/>
          <w:sz w:val="22"/>
          <w:szCs w:val="22"/>
        </w:rPr>
      </w:pPr>
      <w:r w:rsidRPr="00731D33">
        <w:rPr>
          <w:rFonts w:ascii="Book Antiqua" w:hAnsi="Book Antiqua"/>
          <w:b/>
          <w:sz w:val="22"/>
          <w:szCs w:val="22"/>
        </w:rPr>
        <w:t>Članak 3.</w:t>
      </w:r>
    </w:p>
    <w:p w14:paraId="242ABB3F" w14:textId="77777777" w:rsidR="00F35833" w:rsidRPr="00731D33" w:rsidRDefault="00F35833" w:rsidP="00F35833">
      <w:pPr>
        <w:spacing w:line="276" w:lineRule="auto"/>
        <w:jc w:val="both"/>
        <w:rPr>
          <w:rFonts w:ascii="Book Antiqua" w:hAnsi="Book Antiqua"/>
          <w:sz w:val="22"/>
          <w:szCs w:val="22"/>
        </w:rPr>
      </w:pPr>
    </w:p>
    <w:p w14:paraId="165E263F"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Mjere za sprječavanje protuzakonitog odbacivanja otpada su:</w:t>
      </w:r>
    </w:p>
    <w:p w14:paraId="34EE07DE" w14:textId="77777777" w:rsidR="00F35833" w:rsidRPr="00731D33" w:rsidRDefault="00F35833" w:rsidP="00F35833">
      <w:pPr>
        <w:spacing w:line="276" w:lineRule="auto"/>
        <w:jc w:val="both"/>
        <w:rPr>
          <w:rFonts w:ascii="Book Antiqua" w:hAnsi="Book Antiqua"/>
          <w:sz w:val="22"/>
          <w:szCs w:val="22"/>
        </w:rPr>
      </w:pPr>
    </w:p>
    <w:p w14:paraId="2AB0A658" w14:textId="77777777" w:rsidR="00F35833" w:rsidRPr="00731D33" w:rsidRDefault="00F35833" w:rsidP="00F35833">
      <w:pPr>
        <w:spacing w:line="276" w:lineRule="auto"/>
        <w:jc w:val="both"/>
        <w:rPr>
          <w:rFonts w:ascii="Book Antiqua" w:hAnsi="Book Antiqua"/>
          <w:sz w:val="22"/>
          <w:szCs w:val="22"/>
        </w:rPr>
      </w:pPr>
      <w:r w:rsidRPr="00731D33">
        <w:rPr>
          <w:rFonts w:ascii="Book Antiqua" w:hAnsi="Book Antiqua"/>
          <w:sz w:val="22"/>
          <w:szCs w:val="22"/>
        </w:rPr>
        <w:lastRenderedPageBreak/>
        <w:t>- uspostava sustava za zaprimanje obavijesti o protuzakonito odbačenom otpadu,</w:t>
      </w:r>
    </w:p>
    <w:p w14:paraId="55EA3783" w14:textId="77777777" w:rsidR="00F35833" w:rsidRPr="00731D33" w:rsidRDefault="00F35833" w:rsidP="00F35833">
      <w:pPr>
        <w:spacing w:line="276" w:lineRule="auto"/>
        <w:jc w:val="both"/>
        <w:rPr>
          <w:rFonts w:ascii="Book Antiqua" w:hAnsi="Book Antiqua"/>
          <w:sz w:val="22"/>
          <w:szCs w:val="22"/>
        </w:rPr>
      </w:pPr>
      <w:r w:rsidRPr="00731D33">
        <w:rPr>
          <w:rFonts w:ascii="Book Antiqua" w:hAnsi="Book Antiqua"/>
          <w:sz w:val="22"/>
          <w:szCs w:val="22"/>
        </w:rPr>
        <w:t>- postavljanje znakova upozorenja o zabrani odbacivanja otpada na lokacijama Općine   Tovarnik za koje komunalni redar utvrdi da na njima postoji opasnost za odbacivanje otpada,</w:t>
      </w:r>
    </w:p>
    <w:p w14:paraId="1560899D" w14:textId="77777777" w:rsidR="00F35833" w:rsidRPr="00731D33" w:rsidRDefault="00F35833" w:rsidP="00F35833">
      <w:pPr>
        <w:spacing w:line="276" w:lineRule="auto"/>
        <w:jc w:val="both"/>
        <w:rPr>
          <w:rFonts w:ascii="Book Antiqua" w:hAnsi="Book Antiqua"/>
          <w:sz w:val="22"/>
          <w:szCs w:val="22"/>
        </w:rPr>
      </w:pPr>
      <w:r w:rsidRPr="00731D33">
        <w:rPr>
          <w:rFonts w:ascii="Book Antiqua" w:hAnsi="Book Antiqua"/>
          <w:sz w:val="22"/>
          <w:szCs w:val="22"/>
        </w:rPr>
        <w:t>- provođenje stalnog terenskog nadzora komunalnog redara radi utvrđivanja postojanja protuzakonito odbačenog otpada,</w:t>
      </w:r>
    </w:p>
    <w:p w14:paraId="338C0A87" w14:textId="77777777" w:rsidR="00F35833" w:rsidRPr="00731D33" w:rsidRDefault="00F35833" w:rsidP="00F35833">
      <w:pPr>
        <w:spacing w:line="276" w:lineRule="auto"/>
        <w:jc w:val="both"/>
        <w:rPr>
          <w:rFonts w:ascii="Book Antiqua" w:hAnsi="Book Antiqua"/>
          <w:sz w:val="22"/>
          <w:szCs w:val="22"/>
        </w:rPr>
      </w:pPr>
      <w:r w:rsidRPr="00731D33">
        <w:rPr>
          <w:rFonts w:ascii="Book Antiqua" w:hAnsi="Book Antiqua"/>
          <w:sz w:val="22"/>
          <w:szCs w:val="22"/>
        </w:rPr>
        <w:t>- uspostava sustava informatičkog evidentiranja lokacija protuzakonito odbačenog otpada na području Općine Tovarnik,</w:t>
      </w:r>
    </w:p>
    <w:p w14:paraId="1E7CA341" w14:textId="77777777" w:rsidR="00F35833" w:rsidRPr="00731D33" w:rsidRDefault="00F35833" w:rsidP="00F35833">
      <w:pPr>
        <w:spacing w:line="276" w:lineRule="auto"/>
        <w:jc w:val="both"/>
        <w:rPr>
          <w:rFonts w:ascii="Book Antiqua" w:hAnsi="Book Antiqua"/>
          <w:sz w:val="22"/>
          <w:szCs w:val="22"/>
        </w:rPr>
      </w:pPr>
      <w:r w:rsidRPr="00731D33">
        <w:rPr>
          <w:rFonts w:ascii="Book Antiqua" w:hAnsi="Book Antiqua"/>
          <w:sz w:val="22"/>
          <w:szCs w:val="22"/>
        </w:rPr>
        <w:t xml:space="preserve">-  javno dostupne informacije o pravilnom načinu zbrinjavanja svih vrsta otpada na web stranici Općine Tovarnik www.opcina-tovarnik.hr, a posebice o načinu zbrinjavanja: krupnog (glomaznog) otpada, električnog i elektroničkog otpada, problematičnog otpada, građevinskog otpada, automobilskih guma, biootpada i komunalnog otpada, sa naznakom telefonskih brojeva tvrtke Eko-flor plus d.o.o. i </w:t>
      </w:r>
      <w:proofErr w:type="spellStart"/>
      <w:r w:rsidRPr="00731D33">
        <w:rPr>
          <w:rFonts w:ascii="Book Antiqua" w:hAnsi="Book Antiqua"/>
          <w:sz w:val="22"/>
          <w:szCs w:val="22"/>
        </w:rPr>
        <w:t>Reciklažnog</w:t>
      </w:r>
      <w:proofErr w:type="spellEnd"/>
      <w:r w:rsidRPr="00731D33">
        <w:rPr>
          <w:rFonts w:ascii="Book Antiqua" w:hAnsi="Book Antiqua"/>
          <w:sz w:val="22"/>
          <w:szCs w:val="22"/>
        </w:rPr>
        <w:t xml:space="preserve"> dvorišta Tovarnik na kojima se mogu dobiti sve informacije o pravilnom zbrinjavanju svih vrsta otpada, te sa naznakom prekršajnih kazni za slučajeve protuzakonitog odbacivanja otpada u okoliš.</w:t>
      </w:r>
    </w:p>
    <w:p w14:paraId="2E8FAFA8" w14:textId="77777777" w:rsidR="00F35833" w:rsidRPr="00731D33" w:rsidRDefault="00F35833" w:rsidP="00F35833">
      <w:pPr>
        <w:spacing w:line="276" w:lineRule="auto"/>
        <w:jc w:val="both"/>
        <w:rPr>
          <w:rFonts w:ascii="Book Antiqua" w:hAnsi="Book Antiqua"/>
          <w:sz w:val="22"/>
          <w:szCs w:val="22"/>
        </w:rPr>
      </w:pPr>
    </w:p>
    <w:p w14:paraId="59529EF7" w14:textId="77777777" w:rsidR="00F35833" w:rsidRPr="00731D33" w:rsidRDefault="00F35833" w:rsidP="00F35833">
      <w:pPr>
        <w:spacing w:line="276" w:lineRule="auto"/>
        <w:jc w:val="center"/>
        <w:rPr>
          <w:rFonts w:ascii="Book Antiqua" w:hAnsi="Book Antiqua"/>
          <w:b/>
          <w:sz w:val="22"/>
          <w:szCs w:val="22"/>
        </w:rPr>
      </w:pPr>
      <w:r w:rsidRPr="00731D33">
        <w:rPr>
          <w:rFonts w:ascii="Book Antiqua" w:hAnsi="Book Antiqua"/>
          <w:b/>
          <w:sz w:val="22"/>
          <w:szCs w:val="22"/>
        </w:rPr>
        <w:t>Članak 4.</w:t>
      </w:r>
    </w:p>
    <w:p w14:paraId="51A948E3" w14:textId="77777777" w:rsidR="00F35833" w:rsidRPr="00731D33" w:rsidRDefault="00F35833" w:rsidP="00F35833">
      <w:pPr>
        <w:spacing w:line="276" w:lineRule="auto"/>
        <w:jc w:val="center"/>
        <w:rPr>
          <w:rFonts w:ascii="Book Antiqua" w:hAnsi="Book Antiqua"/>
          <w:b/>
          <w:sz w:val="22"/>
          <w:szCs w:val="22"/>
        </w:rPr>
      </w:pPr>
    </w:p>
    <w:p w14:paraId="665E2087"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 xml:space="preserve">(1) Općina Tovarnik uspostaviti će sustav za zaprimanje obavijesti o protuzakonito odbačenom otpadu. </w:t>
      </w:r>
    </w:p>
    <w:p w14:paraId="4412C2BE"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 xml:space="preserve">(2) Obavijest o protuzakonito odbačenom otpadu moći će se dostavljati na popunjenom obrascu na adresu elektroničke pošte pisarnica@opcina-tovarnik.hr, osobno predajom popunjenog obrasca u pisarnici Općine Tovarnik ili putem pošte Općina Tovarnik, </w:t>
      </w:r>
      <w:proofErr w:type="spellStart"/>
      <w:r w:rsidRPr="00731D33">
        <w:rPr>
          <w:rFonts w:ascii="Book Antiqua" w:hAnsi="Book Antiqua"/>
          <w:sz w:val="22"/>
          <w:szCs w:val="22"/>
        </w:rPr>
        <w:t>A.G.Matoša</w:t>
      </w:r>
      <w:proofErr w:type="spellEnd"/>
      <w:r w:rsidRPr="00731D33">
        <w:rPr>
          <w:rFonts w:ascii="Book Antiqua" w:hAnsi="Book Antiqua"/>
          <w:sz w:val="22"/>
          <w:szCs w:val="22"/>
        </w:rPr>
        <w:t xml:space="preserve"> 2, Tovarnik.</w:t>
      </w:r>
    </w:p>
    <w:p w14:paraId="1EC5DBDA" w14:textId="77777777" w:rsidR="00F35833" w:rsidRPr="00731D33" w:rsidRDefault="00F35833" w:rsidP="00731D33">
      <w:pPr>
        <w:spacing w:line="276" w:lineRule="auto"/>
        <w:ind w:firstLine="708"/>
        <w:jc w:val="both"/>
        <w:rPr>
          <w:rFonts w:ascii="Book Antiqua" w:hAnsi="Book Antiqua"/>
          <w:b/>
          <w:sz w:val="22"/>
          <w:szCs w:val="22"/>
        </w:rPr>
      </w:pPr>
      <w:r w:rsidRPr="00731D33">
        <w:rPr>
          <w:rFonts w:ascii="Book Antiqua" w:hAnsi="Book Antiqua"/>
          <w:sz w:val="22"/>
          <w:szCs w:val="22"/>
        </w:rPr>
        <w:t>(3) Obrazac prijave o protuzakonito odloženom otpadu može se preuzeti na internetskoj stranici Općine Tovarnik ili u pisarnici Općine Tovarnik.</w:t>
      </w:r>
    </w:p>
    <w:p w14:paraId="278FF218"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(4) Obaviješću o protuzakonito odbačenom otpadu smatrati će se i svi drugi oblici dojava i obavijesti.</w:t>
      </w:r>
    </w:p>
    <w:p w14:paraId="4306E1B9" w14:textId="7A0E548A" w:rsidR="00731D33" w:rsidRDefault="00731D33" w:rsidP="00F35833">
      <w:pPr>
        <w:spacing w:line="276" w:lineRule="auto"/>
        <w:jc w:val="both"/>
        <w:rPr>
          <w:rFonts w:ascii="Book Antiqua" w:hAnsi="Book Antiqua"/>
          <w:sz w:val="22"/>
          <w:szCs w:val="22"/>
        </w:rPr>
      </w:pPr>
    </w:p>
    <w:p w14:paraId="12CE2646" w14:textId="77777777" w:rsidR="00731D33" w:rsidRPr="00731D33" w:rsidRDefault="00731D33" w:rsidP="00F35833">
      <w:pPr>
        <w:spacing w:line="276" w:lineRule="auto"/>
        <w:jc w:val="both"/>
        <w:rPr>
          <w:rFonts w:ascii="Book Antiqua" w:hAnsi="Book Antiqua"/>
          <w:sz w:val="22"/>
          <w:szCs w:val="22"/>
        </w:rPr>
      </w:pPr>
    </w:p>
    <w:p w14:paraId="4505BBEC" w14:textId="77777777" w:rsidR="00F35833" w:rsidRPr="00731D33" w:rsidRDefault="00F35833" w:rsidP="00F35833">
      <w:pPr>
        <w:pStyle w:val="box468252"/>
        <w:shd w:val="clear" w:color="auto" w:fill="FFFFFF"/>
        <w:spacing w:before="34" w:beforeAutospacing="0" w:after="48" w:afterAutospacing="0"/>
        <w:jc w:val="center"/>
        <w:textAlignment w:val="baseline"/>
        <w:rPr>
          <w:rFonts w:ascii="Book Antiqua" w:hAnsi="Book Antiqua"/>
          <w:b/>
          <w:bCs/>
          <w:color w:val="231F20"/>
          <w:sz w:val="22"/>
          <w:szCs w:val="22"/>
        </w:rPr>
      </w:pPr>
      <w:r w:rsidRPr="00731D33">
        <w:rPr>
          <w:rFonts w:ascii="Book Antiqua" w:hAnsi="Book Antiqua"/>
          <w:b/>
          <w:bCs/>
          <w:color w:val="231F20"/>
          <w:sz w:val="22"/>
          <w:szCs w:val="22"/>
        </w:rPr>
        <w:t>Članak 5.</w:t>
      </w:r>
    </w:p>
    <w:p w14:paraId="08072EE5" w14:textId="77777777" w:rsidR="00F35833" w:rsidRPr="00731D33" w:rsidRDefault="00F35833" w:rsidP="00F35833">
      <w:pPr>
        <w:pStyle w:val="box468252"/>
        <w:shd w:val="clear" w:color="auto" w:fill="FFFFFF"/>
        <w:spacing w:before="34" w:beforeAutospacing="0" w:after="48" w:afterAutospacing="0"/>
        <w:jc w:val="center"/>
        <w:textAlignment w:val="baseline"/>
        <w:rPr>
          <w:rFonts w:ascii="Book Antiqua" w:hAnsi="Book Antiqua"/>
          <w:b/>
          <w:bCs/>
          <w:color w:val="231F20"/>
          <w:sz w:val="22"/>
          <w:szCs w:val="22"/>
        </w:rPr>
      </w:pPr>
    </w:p>
    <w:p w14:paraId="169EB8B9" w14:textId="77777777" w:rsidR="00F35833" w:rsidRPr="00731D33" w:rsidRDefault="00F35833" w:rsidP="00731D33">
      <w:pPr>
        <w:pStyle w:val="box468252"/>
        <w:shd w:val="clear" w:color="auto" w:fill="FFFFFF"/>
        <w:spacing w:before="0" w:beforeAutospacing="0" w:after="48" w:afterAutospacing="0" w:line="276" w:lineRule="auto"/>
        <w:ind w:firstLine="708"/>
        <w:jc w:val="both"/>
        <w:textAlignment w:val="baseline"/>
        <w:rPr>
          <w:rFonts w:ascii="Book Antiqua" w:hAnsi="Book Antiqua"/>
          <w:color w:val="231F20"/>
          <w:sz w:val="22"/>
          <w:szCs w:val="22"/>
        </w:rPr>
      </w:pPr>
      <w:r w:rsidRPr="00731D33">
        <w:rPr>
          <w:rFonts w:ascii="Book Antiqua" w:hAnsi="Book Antiqua"/>
          <w:color w:val="231F20"/>
          <w:sz w:val="22"/>
          <w:szCs w:val="22"/>
        </w:rPr>
        <w:t>(1) Komunalni redar ovlašten je utvrditi identitet fizičke osobe počinitelja odbacivanja otpada uvidom u osobni identifikacijski dokument ili na drugi odgovarajući način.</w:t>
      </w:r>
    </w:p>
    <w:p w14:paraId="62214727" w14:textId="77777777" w:rsidR="00F35833" w:rsidRPr="00731D33" w:rsidRDefault="00F35833" w:rsidP="00731D33">
      <w:pPr>
        <w:pStyle w:val="box468252"/>
        <w:shd w:val="clear" w:color="auto" w:fill="FFFFFF"/>
        <w:spacing w:before="0" w:beforeAutospacing="0" w:after="48" w:afterAutospacing="0" w:line="276" w:lineRule="auto"/>
        <w:ind w:firstLine="708"/>
        <w:jc w:val="both"/>
        <w:textAlignment w:val="baseline"/>
        <w:rPr>
          <w:rFonts w:ascii="Book Antiqua" w:hAnsi="Book Antiqua"/>
          <w:color w:val="231F20"/>
          <w:sz w:val="22"/>
          <w:szCs w:val="22"/>
        </w:rPr>
      </w:pPr>
      <w:r w:rsidRPr="00731D33">
        <w:rPr>
          <w:rFonts w:ascii="Book Antiqua" w:hAnsi="Book Antiqua"/>
          <w:color w:val="231F20"/>
          <w:sz w:val="22"/>
          <w:szCs w:val="22"/>
        </w:rPr>
        <w:t>(2) Fizička osoba počinitelj odbacivanja otpada dužna je na zahtjev predočiti na uvid komunalnom redaru osobni identifikacijski dokument radi utvrđivanja identiteta počinitelja odbacivanja otpada.</w:t>
      </w:r>
    </w:p>
    <w:p w14:paraId="31B39AFB" w14:textId="77777777" w:rsidR="00F35833" w:rsidRPr="00731D33" w:rsidRDefault="00F35833" w:rsidP="00731D33">
      <w:pPr>
        <w:pStyle w:val="box468252"/>
        <w:shd w:val="clear" w:color="auto" w:fill="FFFFFF"/>
        <w:spacing w:before="0" w:beforeAutospacing="0" w:after="48" w:afterAutospacing="0" w:line="276" w:lineRule="auto"/>
        <w:ind w:firstLine="708"/>
        <w:jc w:val="both"/>
        <w:textAlignment w:val="baseline"/>
        <w:rPr>
          <w:rFonts w:ascii="Book Antiqua" w:hAnsi="Book Antiqua"/>
          <w:color w:val="231F20"/>
          <w:sz w:val="22"/>
          <w:szCs w:val="22"/>
        </w:rPr>
      </w:pPr>
      <w:r w:rsidRPr="00731D33">
        <w:rPr>
          <w:rFonts w:ascii="Book Antiqua" w:hAnsi="Book Antiqua"/>
          <w:color w:val="231F20"/>
          <w:sz w:val="22"/>
          <w:szCs w:val="22"/>
        </w:rPr>
        <w:t>(3) 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524D53AB" w14:textId="77777777" w:rsidR="00F35833" w:rsidRPr="00731D33" w:rsidRDefault="00F35833" w:rsidP="00731D33">
      <w:pPr>
        <w:pStyle w:val="box468252"/>
        <w:shd w:val="clear" w:color="auto" w:fill="FFFFFF"/>
        <w:spacing w:before="0" w:beforeAutospacing="0" w:after="48" w:afterAutospacing="0" w:line="276" w:lineRule="auto"/>
        <w:ind w:firstLine="708"/>
        <w:jc w:val="both"/>
        <w:textAlignment w:val="baseline"/>
        <w:rPr>
          <w:rFonts w:ascii="Book Antiqua" w:hAnsi="Book Antiqua"/>
          <w:color w:val="231F20"/>
          <w:sz w:val="22"/>
          <w:szCs w:val="22"/>
        </w:rPr>
      </w:pPr>
      <w:r w:rsidRPr="00731D33">
        <w:rPr>
          <w:rFonts w:ascii="Book Antiqua" w:hAnsi="Book Antiqua"/>
          <w:color w:val="231F20"/>
          <w:sz w:val="22"/>
          <w:szCs w:val="22"/>
        </w:rPr>
        <w:t xml:space="preserve"> (4) 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svezi odbačenog otpada, komunalni redar ovlašten je zatražiti nalog suda i asistenciju djelatnika ministarstva nadležnog za unutarnje poslove radi pristupa na nekretninu u svrhu utvrđivanja činjenica.</w:t>
      </w:r>
    </w:p>
    <w:p w14:paraId="503B8DBF" w14:textId="77777777" w:rsidR="00F35833" w:rsidRPr="00731D33" w:rsidRDefault="00F35833" w:rsidP="00F35833">
      <w:pPr>
        <w:spacing w:line="276" w:lineRule="auto"/>
        <w:jc w:val="center"/>
        <w:rPr>
          <w:rFonts w:ascii="Book Antiqua" w:hAnsi="Book Antiqua"/>
          <w:b/>
          <w:sz w:val="22"/>
          <w:szCs w:val="22"/>
        </w:rPr>
      </w:pPr>
    </w:p>
    <w:p w14:paraId="17B9AEEF" w14:textId="77777777" w:rsidR="00F35833" w:rsidRPr="00731D33" w:rsidRDefault="00F35833" w:rsidP="00F35833">
      <w:pPr>
        <w:spacing w:line="276" w:lineRule="auto"/>
        <w:jc w:val="center"/>
        <w:rPr>
          <w:rFonts w:ascii="Book Antiqua" w:hAnsi="Book Antiqua"/>
          <w:b/>
          <w:sz w:val="22"/>
          <w:szCs w:val="22"/>
        </w:rPr>
      </w:pPr>
      <w:r w:rsidRPr="00731D33">
        <w:rPr>
          <w:rFonts w:ascii="Book Antiqua" w:hAnsi="Book Antiqua"/>
          <w:b/>
          <w:sz w:val="22"/>
          <w:szCs w:val="22"/>
        </w:rPr>
        <w:t>Članak 6.</w:t>
      </w:r>
    </w:p>
    <w:p w14:paraId="4978B26F" w14:textId="77777777" w:rsidR="00F35833" w:rsidRPr="00731D33" w:rsidRDefault="00F35833" w:rsidP="00F35833">
      <w:pPr>
        <w:spacing w:line="276" w:lineRule="auto"/>
        <w:jc w:val="center"/>
        <w:rPr>
          <w:rFonts w:ascii="Book Antiqua" w:hAnsi="Book Antiqua"/>
          <w:b/>
          <w:sz w:val="22"/>
          <w:szCs w:val="22"/>
        </w:rPr>
      </w:pPr>
    </w:p>
    <w:p w14:paraId="36621B3A" w14:textId="77777777" w:rsidR="00F35833" w:rsidRPr="00731D33" w:rsidRDefault="00F35833" w:rsidP="00731D33">
      <w:pPr>
        <w:spacing w:line="276" w:lineRule="auto"/>
        <w:ind w:firstLine="708"/>
        <w:jc w:val="both"/>
        <w:rPr>
          <w:rFonts w:ascii="Book Antiqua" w:hAnsi="Book Antiqua"/>
          <w:color w:val="231F20"/>
          <w:sz w:val="22"/>
          <w:szCs w:val="22"/>
        </w:rPr>
      </w:pPr>
      <w:r w:rsidRPr="00731D33">
        <w:rPr>
          <w:rFonts w:ascii="Book Antiqua" w:hAnsi="Book Antiqua"/>
          <w:color w:val="231F20"/>
          <w:sz w:val="22"/>
          <w:szCs w:val="22"/>
        </w:rPr>
        <w:t>(1) Komunalni redar naređuje uklanjanje otpada osobi koja je protuzakonito uskladištila, ostavila, odbacila i/ili odložila otpad.</w:t>
      </w:r>
    </w:p>
    <w:p w14:paraId="6CBB3DCF" w14:textId="77777777" w:rsidR="00F35833" w:rsidRPr="00731D33" w:rsidRDefault="00F35833" w:rsidP="00731D33">
      <w:pPr>
        <w:spacing w:line="276" w:lineRule="auto"/>
        <w:ind w:firstLine="708"/>
        <w:jc w:val="both"/>
        <w:rPr>
          <w:rFonts w:ascii="Book Antiqua" w:hAnsi="Book Antiqua"/>
          <w:b/>
          <w:sz w:val="22"/>
          <w:szCs w:val="22"/>
        </w:rPr>
      </w:pPr>
      <w:r w:rsidRPr="00731D33">
        <w:rPr>
          <w:rFonts w:ascii="Book Antiqua" w:hAnsi="Book Antiqua"/>
          <w:color w:val="231F20"/>
          <w:sz w:val="22"/>
          <w:szCs w:val="22"/>
        </w:rPr>
        <w:t>(2) Ako osoba koja je protuzakonito uskladištila, ostavila, odbacila i/ili odložila otpad nepoznata, komunalni redar rješenjem naređuje uklanjanje otpada vlasniku nekretnine na kojoj je protuzakonito uskladišten, ostavljen, odbačen i/ili odložen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663F21D0" w14:textId="77777777" w:rsidR="00F35833" w:rsidRPr="00731D33" w:rsidRDefault="00F35833" w:rsidP="00731D33">
      <w:pPr>
        <w:spacing w:line="276" w:lineRule="auto"/>
        <w:ind w:firstLine="708"/>
        <w:jc w:val="both"/>
        <w:rPr>
          <w:rFonts w:ascii="Book Antiqua" w:hAnsi="Book Antiqua"/>
          <w:b/>
          <w:sz w:val="22"/>
          <w:szCs w:val="22"/>
        </w:rPr>
      </w:pPr>
      <w:r w:rsidRPr="00731D33">
        <w:rPr>
          <w:rFonts w:ascii="Book Antiqua" w:hAnsi="Book Antiqua"/>
          <w:sz w:val="22"/>
          <w:szCs w:val="22"/>
        </w:rPr>
        <w:t>(3) Rješenjem iz stavka 1. i 2. ovog članka određuje se: lokacija odbačenog otpada, procijenjena količina odbačenog otpada u m³, obveznik uklanjanja otpada te obveze obveznika da otpad ukloni predajom tog otpada osobi za gospodarenje tom vrstom otpada u roku koji ne može biti duži od šest mjeseci od dana zaprimanja rješenja.</w:t>
      </w:r>
    </w:p>
    <w:p w14:paraId="1F010CE5"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(4) Protiv rješenja iz stavka 1. ovog članka može se izjaviti žalba nadležnom Upravnom odjelu Vukovarsko- srijemske županije.</w:t>
      </w:r>
    </w:p>
    <w:p w14:paraId="065868FD"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(5) Ako se obveznik uklanjanja otpada ne može utvrditi ili ako komunalni redar utvrdi da obveza utvrđena stavkom 1. ovog članka nije izvršena u određenom roku, Općina Tovarnik je dužna o svojem trošku osigurati uklanjanje tog otpada predajom ovlaštenoj osobi za gospodarenje tom vrstom otpada.</w:t>
      </w:r>
    </w:p>
    <w:p w14:paraId="08C06371"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(6) Općina Tovarnik ima pravo na naknadu troškova uklanjanja otpada od obveznika uklanjana otpada ako je on poznat.</w:t>
      </w:r>
    </w:p>
    <w:p w14:paraId="57B39BFF" w14:textId="77777777" w:rsidR="00F35833" w:rsidRPr="00731D33" w:rsidRDefault="00F35833" w:rsidP="00F35833">
      <w:pPr>
        <w:spacing w:line="276" w:lineRule="auto"/>
        <w:jc w:val="center"/>
        <w:rPr>
          <w:rFonts w:ascii="Book Antiqua" w:hAnsi="Book Antiqua"/>
          <w:b/>
          <w:sz w:val="22"/>
          <w:szCs w:val="22"/>
        </w:rPr>
      </w:pPr>
      <w:r w:rsidRPr="00731D33">
        <w:rPr>
          <w:rFonts w:ascii="Book Antiqua" w:hAnsi="Book Antiqua"/>
          <w:b/>
          <w:sz w:val="22"/>
          <w:szCs w:val="22"/>
        </w:rPr>
        <w:t>Članak 7.</w:t>
      </w:r>
    </w:p>
    <w:p w14:paraId="20747D73" w14:textId="77777777" w:rsidR="00F35833" w:rsidRPr="00731D33" w:rsidRDefault="00F35833" w:rsidP="00F35833">
      <w:pPr>
        <w:spacing w:line="276" w:lineRule="auto"/>
        <w:jc w:val="center"/>
        <w:rPr>
          <w:rFonts w:ascii="Book Antiqua" w:hAnsi="Book Antiqua"/>
          <w:b/>
          <w:sz w:val="22"/>
          <w:szCs w:val="22"/>
        </w:rPr>
      </w:pPr>
    </w:p>
    <w:p w14:paraId="2FFD6943"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Mjere i postupci za uklanjanje protuzakonito odloženog otpada na javnim površinama kojima upravlja Općina Tovarnik ili na drugim nekretninama u vlasništvu Općine Tovarnik, propisani su Odlukom o komunalnom redu Općine Tovarnik.</w:t>
      </w:r>
    </w:p>
    <w:p w14:paraId="27BC09EE" w14:textId="77777777" w:rsidR="00F35833" w:rsidRPr="00731D33" w:rsidRDefault="00F35833" w:rsidP="00F35833">
      <w:pPr>
        <w:spacing w:line="276" w:lineRule="auto"/>
        <w:jc w:val="both"/>
        <w:rPr>
          <w:rFonts w:ascii="Book Antiqua" w:hAnsi="Book Antiqua"/>
          <w:sz w:val="22"/>
          <w:szCs w:val="22"/>
        </w:rPr>
      </w:pPr>
    </w:p>
    <w:p w14:paraId="73D5BA16" w14:textId="4BA7F4DE" w:rsidR="00F35833" w:rsidRPr="00731D33" w:rsidRDefault="00731D33" w:rsidP="00F35833">
      <w:pPr>
        <w:spacing w:line="276" w:lineRule="auto"/>
        <w:ind w:left="3540"/>
        <w:rPr>
          <w:rFonts w:ascii="Book Antiqua" w:hAnsi="Book Antiqua"/>
          <w:b/>
          <w:sz w:val="22"/>
          <w:szCs w:val="22"/>
        </w:rPr>
      </w:pPr>
      <w:r>
        <w:rPr>
          <w:rFonts w:ascii="Book Antiqua" w:hAnsi="Book Antiqua"/>
          <w:sz w:val="22"/>
          <w:szCs w:val="22"/>
        </w:rPr>
        <w:t xml:space="preserve">          </w:t>
      </w:r>
      <w:r w:rsidR="00F35833" w:rsidRPr="00731D33">
        <w:rPr>
          <w:rFonts w:ascii="Book Antiqua" w:hAnsi="Book Antiqua"/>
          <w:b/>
          <w:sz w:val="22"/>
          <w:szCs w:val="22"/>
        </w:rPr>
        <w:t xml:space="preserve">Članak 8. </w:t>
      </w:r>
    </w:p>
    <w:p w14:paraId="6950DAE5" w14:textId="77777777" w:rsidR="00F35833" w:rsidRPr="00731D33" w:rsidRDefault="00F35833" w:rsidP="00F35833">
      <w:pPr>
        <w:spacing w:line="276" w:lineRule="auto"/>
        <w:ind w:left="3540"/>
        <w:rPr>
          <w:rFonts w:ascii="Book Antiqua" w:hAnsi="Book Antiqua"/>
          <w:b/>
          <w:sz w:val="22"/>
          <w:szCs w:val="22"/>
        </w:rPr>
      </w:pPr>
    </w:p>
    <w:p w14:paraId="5DEA7B9A"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Općina Tovarnik je dužna osigurati podatke o protuzakonito odbačenom otpadu te ih po potrebi unositi u mrežnu aplikaciju sustava evidentiranja koju vodi nadležno tijelo.</w:t>
      </w:r>
    </w:p>
    <w:p w14:paraId="079498D1" w14:textId="77777777" w:rsidR="00F35833" w:rsidRPr="00731D33" w:rsidRDefault="00F35833" w:rsidP="00F35833">
      <w:pPr>
        <w:spacing w:line="276" w:lineRule="auto"/>
        <w:jc w:val="both"/>
        <w:rPr>
          <w:rFonts w:ascii="Book Antiqua" w:hAnsi="Book Antiqua"/>
          <w:sz w:val="22"/>
          <w:szCs w:val="22"/>
        </w:rPr>
      </w:pPr>
    </w:p>
    <w:p w14:paraId="6AB7438B" w14:textId="4A832D5A" w:rsidR="00F35833" w:rsidRPr="00731D33" w:rsidRDefault="00F35833" w:rsidP="00731D33">
      <w:pPr>
        <w:spacing w:line="276" w:lineRule="auto"/>
        <w:jc w:val="center"/>
        <w:rPr>
          <w:rFonts w:ascii="Book Antiqua" w:hAnsi="Book Antiqua"/>
          <w:b/>
          <w:sz w:val="22"/>
          <w:szCs w:val="22"/>
        </w:rPr>
      </w:pPr>
      <w:r w:rsidRPr="00731D33">
        <w:rPr>
          <w:rFonts w:ascii="Book Antiqua" w:hAnsi="Book Antiqua"/>
          <w:b/>
          <w:sz w:val="22"/>
          <w:szCs w:val="22"/>
        </w:rPr>
        <w:t>Članak 9.</w:t>
      </w:r>
    </w:p>
    <w:p w14:paraId="13A71F7D" w14:textId="77777777" w:rsidR="00F35833" w:rsidRPr="00731D33" w:rsidRDefault="00F35833" w:rsidP="00F35833">
      <w:pPr>
        <w:spacing w:line="276" w:lineRule="auto"/>
        <w:rPr>
          <w:rFonts w:ascii="Book Antiqua" w:hAnsi="Book Antiqua"/>
          <w:b/>
          <w:sz w:val="22"/>
          <w:szCs w:val="22"/>
        </w:rPr>
      </w:pPr>
    </w:p>
    <w:p w14:paraId="0D6FB8C8" w14:textId="3A2B5B40" w:rsidR="00F35833" w:rsidRPr="00731D33" w:rsidRDefault="00F35833" w:rsidP="00731D33">
      <w:pPr>
        <w:spacing w:line="276" w:lineRule="auto"/>
        <w:ind w:firstLine="708"/>
        <w:jc w:val="both"/>
        <w:rPr>
          <w:rFonts w:ascii="Book Antiqua" w:hAnsi="Book Antiqua"/>
          <w:bCs/>
          <w:sz w:val="22"/>
          <w:szCs w:val="22"/>
        </w:rPr>
      </w:pPr>
      <w:r w:rsidRPr="00731D33">
        <w:rPr>
          <w:rFonts w:ascii="Book Antiqua" w:hAnsi="Book Antiqua"/>
          <w:bCs/>
          <w:sz w:val="22"/>
          <w:szCs w:val="22"/>
        </w:rPr>
        <w:t xml:space="preserve">Stupanjem na snagu ove Odluke, prestaje važenje Odluke o mjerama za sprječavanje nepropisnog odbacivanja otpada i mjerama za uklanjanje otpada odbačenog u okoliš na području Općine Tovarnik („Službeni vjesnik“ Vukovarsko – srijemske županije, br. </w:t>
      </w:r>
      <w:r w:rsidR="00074269">
        <w:rPr>
          <w:rFonts w:ascii="Book Antiqua" w:hAnsi="Book Antiqua"/>
          <w:bCs/>
          <w:sz w:val="22"/>
          <w:szCs w:val="22"/>
        </w:rPr>
        <w:t>01</w:t>
      </w:r>
      <w:r w:rsidRPr="00731D33">
        <w:rPr>
          <w:rFonts w:ascii="Book Antiqua" w:hAnsi="Book Antiqua"/>
          <w:bCs/>
          <w:sz w:val="22"/>
          <w:szCs w:val="22"/>
        </w:rPr>
        <w:t>/</w:t>
      </w:r>
      <w:r w:rsidR="00074269">
        <w:rPr>
          <w:rFonts w:ascii="Book Antiqua" w:hAnsi="Book Antiqua"/>
          <w:bCs/>
          <w:sz w:val="22"/>
          <w:szCs w:val="22"/>
        </w:rPr>
        <w:t>19</w:t>
      </w:r>
      <w:r w:rsidRPr="00731D33">
        <w:rPr>
          <w:rFonts w:ascii="Book Antiqua" w:hAnsi="Book Antiqua"/>
          <w:bCs/>
          <w:sz w:val="22"/>
          <w:szCs w:val="22"/>
        </w:rPr>
        <w:t>.)</w:t>
      </w:r>
    </w:p>
    <w:p w14:paraId="43880F20" w14:textId="77777777" w:rsidR="00731D33" w:rsidRDefault="00F35833" w:rsidP="00F35833">
      <w:pPr>
        <w:spacing w:line="276" w:lineRule="auto"/>
        <w:jc w:val="both"/>
        <w:rPr>
          <w:rFonts w:ascii="Book Antiqua" w:hAnsi="Book Antiqua"/>
          <w:b/>
          <w:sz w:val="22"/>
          <w:szCs w:val="22"/>
        </w:rPr>
      </w:pPr>
      <w:r w:rsidRPr="00731D33">
        <w:rPr>
          <w:rFonts w:ascii="Book Antiqua" w:hAnsi="Book Antiqua"/>
          <w:bCs/>
          <w:sz w:val="22"/>
          <w:szCs w:val="22"/>
        </w:rPr>
        <w:t xml:space="preserve">                                          </w:t>
      </w:r>
      <w:r w:rsidRPr="00731D33">
        <w:rPr>
          <w:rFonts w:ascii="Book Antiqua" w:hAnsi="Book Antiqua"/>
          <w:b/>
          <w:sz w:val="22"/>
          <w:szCs w:val="22"/>
        </w:rPr>
        <w:t xml:space="preserve">                       </w:t>
      </w:r>
      <w:r w:rsidR="00731D33">
        <w:rPr>
          <w:rFonts w:ascii="Book Antiqua" w:hAnsi="Book Antiqua"/>
          <w:b/>
          <w:sz w:val="22"/>
          <w:szCs w:val="22"/>
        </w:rPr>
        <w:t xml:space="preserve">     </w:t>
      </w:r>
    </w:p>
    <w:p w14:paraId="2186DD0C" w14:textId="292D2242" w:rsidR="00F35833" w:rsidRPr="00731D33" w:rsidRDefault="00F35833" w:rsidP="00731D33">
      <w:pPr>
        <w:spacing w:line="276" w:lineRule="auto"/>
        <w:jc w:val="center"/>
        <w:rPr>
          <w:rFonts w:ascii="Book Antiqua" w:hAnsi="Book Antiqua"/>
          <w:b/>
          <w:sz w:val="22"/>
          <w:szCs w:val="22"/>
        </w:rPr>
      </w:pPr>
      <w:r w:rsidRPr="00731D33">
        <w:rPr>
          <w:rFonts w:ascii="Book Antiqua" w:hAnsi="Book Antiqua"/>
          <w:b/>
          <w:sz w:val="22"/>
          <w:szCs w:val="22"/>
        </w:rPr>
        <w:t>Članak 10.</w:t>
      </w:r>
    </w:p>
    <w:p w14:paraId="4DDADFB0" w14:textId="77777777" w:rsidR="00F35833" w:rsidRPr="00731D33" w:rsidRDefault="00F35833" w:rsidP="00F35833">
      <w:pPr>
        <w:spacing w:line="276" w:lineRule="auto"/>
        <w:jc w:val="both"/>
        <w:rPr>
          <w:rFonts w:ascii="Book Antiqua" w:hAnsi="Book Antiqua"/>
          <w:b/>
          <w:sz w:val="22"/>
          <w:szCs w:val="22"/>
        </w:rPr>
      </w:pPr>
    </w:p>
    <w:p w14:paraId="60C443F8" w14:textId="77777777" w:rsidR="00F35833" w:rsidRPr="00731D33" w:rsidRDefault="00F35833" w:rsidP="00731D33">
      <w:pPr>
        <w:spacing w:line="276" w:lineRule="auto"/>
        <w:ind w:firstLine="708"/>
        <w:jc w:val="both"/>
        <w:rPr>
          <w:rFonts w:ascii="Book Antiqua" w:hAnsi="Book Antiqua"/>
          <w:sz w:val="22"/>
          <w:szCs w:val="22"/>
        </w:rPr>
      </w:pPr>
      <w:r w:rsidRPr="00731D33">
        <w:rPr>
          <w:rFonts w:ascii="Book Antiqua" w:hAnsi="Book Antiqua"/>
          <w:sz w:val="22"/>
          <w:szCs w:val="22"/>
        </w:rPr>
        <w:t>Ova Odluka stupa na snagu osmog dana od dana objave u „Službenom vjesniku“ Vukovarsko - srijemske županije.</w:t>
      </w:r>
    </w:p>
    <w:bookmarkEnd w:id="3"/>
    <w:p w14:paraId="342448AF" w14:textId="249A39FA" w:rsidR="00AA3945" w:rsidRDefault="00AA3945" w:rsidP="00AA3945">
      <w:pPr>
        <w:rPr>
          <w:rFonts w:ascii="Book Antiqua" w:hAnsi="Book Antiqua"/>
          <w:sz w:val="22"/>
          <w:szCs w:val="22"/>
        </w:rPr>
      </w:pPr>
    </w:p>
    <w:p w14:paraId="4BAEE54A" w14:textId="77777777" w:rsidR="00ED2A22" w:rsidRPr="00731D33" w:rsidRDefault="00ED2A22" w:rsidP="00AA3945">
      <w:pPr>
        <w:rPr>
          <w:rFonts w:ascii="Book Antiqua" w:hAnsi="Book Antiqua"/>
          <w:sz w:val="22"/>
          <w:szCs w:val="22"/>
        </w:rPr>
      </w:pPr>
    </w:p>
    <w:p w14:paraId="029945F0" w14:textId="77777777" w:rsidR="00CB37A7" w:rsidRPr="00CB37A7" w:rsidRDefault="00AA3945" w:rsidP="00CB37A7">
      <w:pPr>
        <w:jc w:val="right"/>
        <w:rPr>
          <w:rFonts w:ascii="Book Antiqua" w:hAnsi="Book Antiqua"/>
          <w:sz w:val="22"/>
          <w:szCs w:val="22"/>
        </w:rPr>
      </w:pPr>
      <w:r w:rsidRPr="00731D33">
        <w:rPr>
          <w:rFonts w:ascii="Book Antiqua" w:hAnsi="Book Antiqua"/>
          <w:sz w:val="22"/>
          <w:szCs w:val="22"/>
        </w:rPr>
        <w:tab/>
      </w:r>
      <w:r w:rsidR="00CB37A7" w:rsidRPr="00CB37A7">
        <w:rPr>
          <w:rFonts w:ascii="Book Antiqua" w:hAnsi="Book Antiqua"/>
          <w:sz w:val="22"/>
          <w:szCs w:val="22"/>
        </w:rPr>
        <w:t>PREDSJEDNIK OPĆINSKOG VIJEĆA</w:t>
      </w:r>
    </w:p>
    <w:p w14:paraId="4D1CA6D5" w14:textId="77777777" w:rsidR="00CB37A7" w:rsidRPr="00CB37A7" w:rsidRDefault="00CB37A7" w:rsidP="00CB37A7">
      <w:pPr>
        <w:jc w:val="right"/>
        <w:rPr>
          <w:rFonts w:ascii="Book Antiqua" w:hAnsi="Book Antiqua"/>
          <w:sz w:val="22"/>
          <w:szCs w:val="22"/>
        </w:rPr>
      </w:pPr>
      <w:r w:rsidRPr="00CB37A7">
        <w:rPr>
          <w:rFonts w:ascii="Book Antiqua" w:hAnsi="Book Antiqua"/>
          <w:sz w:val="22"/>
          <w:szCs w:val="22"/>
        </w:rPr>
        <w:t xml:space="preserve">Dubravko Blašković </w:t>
      </w:r>
    </w:p>
    <w:p w14:paraId="3128FD3D" w14:textId="5F391E62" w:rsidR="00AA3945" w:rsidRPr="00731D33" w:rsidRDefault="00AA3945" w:rsidP="00CB37A7">
      <w:pPr>
        <w:tabs>
          <w:tab w:val="left" w:pos="4035"/>
        </w:tabs>
        <w:jc w:val="right"/>
        <w:rPr>
          <w:rFonts w:ascii="Book Antiqua" w:hAnsi="Book Antiqua"/>
          <w:sz w:val="22"/>
          <w:szCs w:val="22"/>
        </w:rPr>
      </w:pPr>
    </w:p>
    <w:sectPr w:rsidR="00AA3945" w:rsidRPr="00731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60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07CC6"/>
    <w:multiLevelType w:val="multilevel"/>
    <w:tmpl w:val="F53A7460"/>
    <w:lvl w:ilvl="0">
      <w:numFmt w:val="bullet"/>
      <w:lvlText w:val="-"/>
      <w:lvlJc w:val="left"/>
      <w:pPr>
        <w:ind w:left="1065" w:hanging="360"/>
      </w:pPr>
      <w:rPr>
        <w:rFonts w:ascii="Times New Roman" w:eastAsia="Calibri"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 w15:restartNumberingAfterBreak="0">
    <w:nsid w:val="45A33AAC"/>
    <w:multiLevelType w:val="hybridMultilevel"/>
    <w:tmpl w:val="3A2405F4"/>
    <w:lvl w:ilvl="0" w:tplc="6BF06C44">
      <w:numFmt w:val="bullet"/>
      <w:lvlText w:val="•"/>
      <w:lvlJc w:val="left"/>
      <w:pPr>
        <w:ind w:left="720" w:hanging="360"/>
      </w:pPr>
      <w:rPr>
        <w:rFonts w:ascii="Times New Roman" w:eastAsia="Calibri"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04954"/>
    <w:multiLevelType w:val="hybridMultilevel"/>
    <w:tmpl w:val="E2B4D5A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7E20C87"/>
    <w:multiLevelType w:val="hybridMultilevel"/>
    <w:tmpl w:val="B548198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C7C188D"/>
    <w:multiLevelType w:val="hybridMultilevel"/>
    <w:tmpl w:val="85686A84"/>
    <w:lvl w:ilvl="0" w:tplc="4C025ECE">
      <w:start w:val="1"/>
      <w:numFmt w:val="bullet"/>
      <w:lvlText w:val="-"/>
      <w:lvlJc w:val="left"/>
      <w:pPr>
        <w:ind w:left="720" w:hanging="360"/>
      </w:pPr>
      <w:rPr>
        <w:rFonts w:ascii="Times New Roman" w:eastAsia="Calibri" w:hAnsi="Times New Roman" w:cs="Times New Roman" w:hint="default"/>
        <w:b w:val="0"/>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A64C19"/>
    <w:multiLevelType w:val="hybridMultilevel"/>
    <w:tmpl w:val="E4D20FAC"/>
    <w:lvl w:ilvl="0" w:tplc="EECEF770">
      <w:start w:val="5"/>
      <w:numFmt w:val="bullet"/>
      <w:lvlText w:val="-"/>
      <w:lvlJc w:val="left"/>
      <w:pPr>
        <w:ind w:left="405" w:hanging="360"/>
      </w:pPr>
      <w:rPr>
        <w:rFonts w:ascii="Cambria" w:eastAsia="Calibri" w:hAnsi="Cambria"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16cid:durableId="2062753953">
    <w:abstractNumId w:val="1"/>
  </w:num>
  <w:num w:numId="2" w16cid:durableId="125851581">
    <w:abstractNumId w:val="0"/>
  </w:num>
  <w:num w:numId="3" w16cid:durableId="1026560231">
    <w:abstractNumId w:val="2"/>
  </w:num>
  <w:num w:numId="4" w16cid:durableId="381098993">
    <w:abstractNumId w:val="4"/>
  </w:num>
  <w:num w:numId="5" w16cid:durableId="498889997">
    <w:abstractNumId w:val="3"/>
  </w:num>
  <w:num w:numId="6" w16cid:durableId="1599412620">
    <w:abstractNumId w:val="6"/>
  </w:num>
  <w:num w:numId="7" w16cid:durableId="1877422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05"/>
    <w:rsid w:val="00027C10"/>
    <w:rsid w:val="00046FB3"/>
    <w:rsid w:val="00074269"/>
    <w:rsid w:val="00144710"/>
    <w:rsid w:val="00162700"/>
    <w:rsid w:val="001E3BAD"/>
    <w:rsid w:val="002C2C45"/>
    <w:rsid w:val="00300CB2"/>
    <w:rsid w:val="00311FAA"/>
    <w:rsid w:val="003902BF"/>
    <w:rsid w:val="00407B16"/>
    <w:rsid w:val="004125A3"/>
    <w:rsid w:val="004B7E5B"/>
    <w:rsid w:val="004D01CC"/>
    <w:rsid w:val="005E0568"/>
    <w:rsid w:val="005E2045"/>
    <w:rsid w:val="006F3DB5"/>
    <w:rsid w:val="0070197F"/>
    <w:rsid w:val="00731D33"/>
    <w:rsid w:val="00915F97"/>
    <w:rsid w:val="00932534"/>
    <w:rsid w:val="00A54C69"/>
    <w:rsid w:val="00A57B41"/>
    <w:rsid w:val="00AA3945"/>
    <w:rsid w:val="00AC75EB"/>
    <w:rsid w:val="00B24FA1"/>
    <w:rsid w:val="00B3627B"/>
    <w:rsid w:val="00B43B28"/>
    <w:rsid w:val="00B74A40"/>
    <w:rsid w:val="00C146FE"/>
    <w:rsid w:val="00CB37A7"/>
    <w:rsid w:val="00D9762E"/>
    <w:rsid w:val="00DA247F"/>
    <w:rsid w:val="00E618AB"/>
    <w:rsid w:val="00EB7C05"/>
    <w:rsid w:val="00ED2196"/>
    <w:rsid w:val="00ED2A22"/>
    <w:rsid w:val="00F12A69"/>
    <w:rsid w:val="00F24442"/>
    <w:rsid w:val="00F340FB"/>
    <w:rsid w:val="00F35833"/>
    <w:rsid w:val="00F63449"/>
    <w:rsid w:val="00FC32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B27F"/>
  <w15:chartTrackingRefBased/>
  <w15:docId w15:val="{2979BB77-D895-4421-BD3B-FBC8431F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05"/>
    <w:pPr>
      <w:spacing w:after="0" w:line="240" w:lineRule="auto"/>
    </w:pPr>
    <w:rPr>
      <w:rFonts w:ascii="Times New Roman" w:eastAsia="Times New Roman" w:hAnsi="Times New Roman" w:cs="Times New Roman"/>
      <w:sz w:val="20"/>
      <w:szCs w:val="20"/>
      <w:lang w:eastAsia="hr-HR"/>
    </w:rPr>
  </w:style>
  <w:style w:type="paragraph" w:styleId="Naslov9">
    <w:name w:val="heading 9"/>
    <w:basedOn w:val="Normal"/>
    <w:next w:val="Normal"/>
    <w:link w:val="Naslov9Char"/>
    <w:qFormat/>
    <w:rsid w:val="00F63449"/>
    <w:pPr>
      <w:keepNext/>
      <w:tabs>
        <w:tab w:val="left" w:pos="3439"/>
        <w:tab w:val="left" w:pos="6878"/>
      </w:tabs>
      <w:spacing w:line="360" w:lineRule="auto"/>
      <w:jc w:val="both"/>
      <w:outlineLvl w:val="8"/>
    </w:pPr>
    <w:rPr>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12A69"/>
    <w:pPr>
      <w:spacing w:before="100" w:beforeAutospacing="1" w:after="100" w:afterAutospacing="1"/>
    </w:pPr>
    <w:rPr>
      <w:sz w:val="24"/>
      <w:szCs w:val="24"/>
    </w:rPr>
  </w:style>
  <w:style w:type="paragraph" w:styleId="Odlomakpopisa">
    <w:name w:val="List Paragraph"/>
    <w:basedOn w:val="Normal"/>
    <w:uiPriority w:val="34"/>
    <w:qFormat/>
    <w:rsid w:val="00A57B41"/>
    <w:pPr>
      <w:spacing w:after="200"/>
      <w:ind w:left="720"/>
      <w:contextualSpacing/>
    </w:pPr>
    <w:rPr>
      <w:rFonts w:ascii="Calibri" w:eastAsia="Calibri" w:hAnsi="Calibri"/>
      <w:sz w:val="22"/>
      <w:szCs w:val="22"/>
      <w:lang w:eastAsia="en-US"/>
    </w:rPr>
  </w:style>
  <w:style w:type="paragraph" w:customStyle="1" w:styleId="Default">
    <w:name w:val="Default"/>
    <w:rsid w:val="00D9762E"/>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t-9-8">
    <w:name w:val="t-9-8"/>
    <w:basedOn w:val="Normal"/>
    <w:rsid w:val="00D9762E"/>
    <w:pPr>
      <w:spacing w:before="100" w:beforeAutospacing="1" w:after="100" w:afterAutospacing="1"/>
    </w:pPr>
    <w:rPr>
      <w:sz w:val="24"/>
      <w:szCs w:val="24"/>
    </w:rPr>
  </w:style>
  <w:style w:type="character" w:customStyle="1" w:styleId="Naslov9Char">
    <w:name w:val="Naslov 9 Char"/>
    <w:basedOn w:val="Zadanifontodlomka"/>
    <w:link w:val="Naslov9"/>
    <w:rsid w:val="00F63449"/>
    <w:rPr>
      <w:rFonts w:ascii="Times New Roman" w:eastAsia="Times New Roman" w:hAnsi="Times New Roman" w:cs="Times New Roman"/>
      <w:sz w:val="28"/>
      <w:szCs w:val="24"/>
      <w:lang w:eastAsia="hr-HR"/>
    </w:rPr>
  </w:style>
  <w:style w:type="paragraph" w:customStyle="1" w:styleId="box468252">
    <w:name w:val="box_468252"/>
    <w:basedOn w:val="Normal"/>
    <w:rsid w:val="00F358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3</cp:revision>
  <cp:lastPrinted>2022-08-01T12:16:00Z</cp:lastPrinted>
  <dcterms:created xsi:type="dcterms:W3CDTF">2022-08-16T06:51:00Z</dcterms:created>
  <dcterms:modified xsi:type="dcterms:W3CDTF">2022-08-17T07:17:00Z</dcterms:modified>
</cp:coreProperties>
</file>