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371C" w14:textId="77777777" w:rsidR="00F84AB5" w:rsidRPr="00966181" w:rsidRDefault="00F84AB5" w:rsidP="00F84AB5">
      <w:pPr>
        <w:rPr>
          <w:rFonts w:ascii="Book Antiqua" w:hAnsi="Book Antiqua"/>
          <w:b/>
          <w:sz w:val="24"/>
          <w:szCs w:val="24"/>
        </w:rPr>
      </w:pPr>
      <w:r w:rsidRPr="00966181">
        <w:rPr>
          <w:rFonts w:ascii="Book Antiqua" w:hAnsi="Book Antiqua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18B711C" wp14:editId="1D7F0741">
            <wp:simplePos x="0" y="0"/>
            <wp:positionH relativeFrom="column">
              <wp:posOffset>7776</wp:posOffset>
            </wp:positionH>
            <wp:positionV relativeFrom="paragraph">
              <wp:posOffset>-208675</wp:posOffset>
            </wp:positionV>
            <wp:extent cx="2534369" cy="1811682"/>
            <wp:effectExtent l="19050" t="0" r="0" b="0"/>
            <wp:wrapNone/>
            <wp:docPr id="1" name="Slika 2" descr="logo ON bez tij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 bez tije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371" cy="1811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2025E" w14:textId="77777777" w:rsidR="00F84AB5" w:rsidRPr="00966181" w:rsidRDefault="00F84AB5" w:rsidP="00F84AB5">
      <w:pPr>
        <w:tabs>
          <w:tab w:val="left" w:pos="7630"/>
        </w:tabs>
        <w:jc w:val="right"/>
        <w:rPr>
          <w:rFonts w:ascii="Book Antiqua" w:hAnsi="Book Antiqua"/>
          <w:b/>
          <w:i/>
          <w:sz w:val="24"/>
          <w:szCs w:val="24"/>
        </w:rPr>
      </w:pPr>
      <w:r w:rsidRPr="00966181">
        <w:rPr>
          <w:rFonts w:ascii="Book Antiqua" w:hAnsi="Book Antiqua"/>
          <w:b/>
          <w:i/>
          <w:sz w:val="24"/>
          <w:szCs w:val="24"/>
        </w:rPr>
        <w:t xml:space="preserve">PRIJEDLOG ODLUKE </w:t>
      </w:r>
    </w:p>
    <w:p w14:paraId="520197C7" w14:textId="77777777" w:rsidR="00F84AB5" w:rsidRPr="00966181" w:rsidRDefault="00F84AB5" w:rsidP="00F84AB5">
      <w:pPr>
        <w:rPr>
          <w:rFonts w:ascii="Book Antiqua" w:hAnsi="Book Antiqua"/>
          <w:b/>
          <w:sz w:val="24"/>
          <w:szCs w:val="24"/>
        </w:rPr>
      </w:pPr>
    </w:p>
    <w:p w14:paraId="2228A003" w14:textId="77777777" w:rsidR="00F84AB5" w:rsidRPr="00966181" w:rsidRDefault="00F84AB5" w:rsidP="00F84AB5">
      <w:pPr>
        <w:rPr>
          <w:rFonts w:ascii="Book Antiqua" w:hAnsi="Book Antiqua"/>
          <w:b/>
          <w:sz w:val="24"/>
          <w:szCs w:val="24"/>
        </w:rPr>
      </w:pPr>
    </w:p>
    <w:p w14:paraId="0B8F4A17" w14:textId="77777777" w:rsidR="00F84AB5" w:rsidRPr="00966181" w:rsidRDefault="00F84AB5" w:rsidP="00F84AB5">
      <w:pPr>
        <w:rPr>
          <w:rFonts w:ascii="Book Antiqua" w:hAnsi="Book Antiqua"/>
          <w:sz w:val="24"/>
          <w:szCs w:val="24"/>
        </w:rPr>
      </w:pPr>
      <w:r w:rsidRPr="00966181">
        <w:rPr>
          <w:rFonts w:ascii="Book Antiqua" w:hAnsi="Book Antiqua"/>
          <w:b/>
          <w:sz w:val="24"/>
          <w:szCs w:val="24"/>
        </w:rPr>
        <w:t xml:space="preserve">                        OPĆINSKO VIJEĆE</w:t>
      </w:r>
    </w:p>
    <w:p w14:paraId="131A1446" w14:textId="77777777" w:rsidR="00F84AB5" w:rsidRPr="00966181" w:rsidRDefault="00F84AB5" w:rsidP="00F84AB5">
      <w:pPr>
        <w:pStyle w:val="Zaglavlje"/>
        <w:tabs>
          <w:tab w:val="center" w:pos="900"/>
        </w:tabs>
        <w:jc w:val="both"/>
        <w:rPr>
          <w:rFonts w:ascii="Book Antiqua" w:hAnsi="Book Antiqua"/>
        </w:rPr>
      </w:pPr>
    </w:p>
    <w:p w14:paraId="6A887295" w14:textId="6463DCAF" w:rsidR="00F84AB5" w:rsidRPr="00966181" w:rsidRDefault="00F84AB5" w:rsidP="00F84AB5">
      <w:pPr>
        <w:pStyle w:val="Zaglavlje"/>
        <w:tabs>
          <w:tab w:val="center" w:pos="900"/>
        </w:tabs>
        <w:jc w:val="both"/>
        <w:rPr>
          <w:rFonts w:ascii="Book Antiqua" w:hAnsi="Book Antiqua"/>
        </w:rPr>
      </w:pPr>
      <w:r w:rsidRPr="00966181">
        <w:rPr>
          <w:rFonts w:ascii="Book Antiqua" w:hAnsi="Book Antiqua"/>
        </w:rPr>
        <w:t>Klasa: UP/I-</w:t>
      </w:r>
    </w:p>
    <w:p w14:paraId="0FA09DF7" w14:textId="77777777" w:rsidR="00F84AB5" w:rsidRPr="00966181" w:rsidRDefault="00F84AB5" w:rsidP="00F84AB5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  <w:proofErr w:type="spellStart"/>
      <w:r w:rsidRPr="00966181">
        <w:rPr>
          <w:rFonts w:ascii="Book Antiqua" w:hAnsi="Book Antiqua"/>
          <w:bCs/>
          <w:sz w:val="24"/>
          <w:szCs w:val="24"/>
        </w:rPr>
        <w:t>Urbroj</w:t>
      </w:r>
      <w:proofErr w:type="spellEnd"/>
      <w:r w:rsidRPr="00966181">
        <w:rPr>
          <w:rFonts w:ascii="Book Antiqua" w:hAnsi="Book Antiqua"/>
          <w:bCs/>
          <w:sz w:val="24"/>
          <w:szCs w:val="24"/>
        </w:rPr>
        <w:t xml:space="preserve">: </w:t>
      </w:r>
    </w:p>
    <w:p w14:paraId="1FD8CC6C" w14:textId="16D2BCDE" w:rsidR="00F84AB5" w:rsidRPr="00966181" w:rsidRDefault="00F84AB5" w:rsidP="00F84AB5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966181">
        <w:rPr>
          <w:rFonts w:ascii="Book Antiqua" w:hAnsi="Book Antiqua"/>
          <w:bCs/>
          <w:sz w:val="24"/>
          <w:szCs w:val="24"/>
        </w:rPr>
        <w:t xml:space="preserve">Tovarnik, </w:t>
      </w:r>
      <w:r w:rsidR="00966181">
        <w:rPr>
          <w:rFonts w:ascii="Book Antiqua" w:hAnsi="Book Antiqua"/>
          <w:bCs/>
          <w:sz w:val="24"/>
          <w:szCs w:val="24"/>
        </w:rPr>
        <w:t xml:space="preserve">27. 06. 2022. </w:t>
      </w:r>
      <w:r w:rsidRPr="00966181">
        <w:rPr>
          <w:rFonts w:ascii="Book Antiqua" w:hAnsi="Book Antiqua"/>
          <w:bCs/>
          <w:sz w:val="24"/>
          <w:szCs w:val="24"/>
        </w:rPr>
        <w:t xml:space="preserve"> godine</w:t>
      </w:r>
    </w:p>
    <w:p w14:paraId="5B270DD8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506ACCE0" w14:textId="5916D285" w:rsidR="00F84AB5" w:rsidRPr="00966181" w:rsidRDefault="00F84AB5" w:rsidP="00F84AB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  <w:r w:rsidRPr="00966181">
        <w:rPr>
          <w:rFonts w:ascii="Book Antiqua" w:hAnsi="Book Antiqua"/>
          <w:sz w:val="24"/>
          <w:szCs w:val="24"/>
          <w:shd w:val="clear" w:color="auto" w:fill="FFFFFF"/>
        </w:rPr>
        <w:t>Na temelju članaka 36. stavak 1. i 6. Zakona o koncesijama („Narodne novine</w:t>
      </w:r>
      <w:r w:rsidRPr="00966181">
        <w:rPr>
          <w:rFonts w:ascii="Book Antiqua" w:hAnsi="Book Antiqua"/>
          <w:sz w:val="24"/>
          <w:szCs w:val="24"/>
          <w:shd w:val="clear" w:color="auto" w:fill="FFFFFF"/>
          <w:lang w:val="de-DE"/>
        </w:rPr>
        <w:t xml:space="preserve">“ 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broj 69/17 i 107/2020) </w:t>
      </w:r>
      <w:r w:rsidR="001A3C0C"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te članka 68. stavka 2 </w:t>
      </w:r>
      <w:r w:rsidR="001A3C0C" w:rsidRPr="00966181">
        <w:rPr>
          <w:rFonts w:ascii="Book Antiqua" w:hAnsi="Book Antiqua" w:cstheme="minorHAnsi"/>
          <w:sz w:val="24"/>
          <w:szCs w:val="24"/>
        </w:rPr>
        <w:t xml:space="preserve">Zakona o gospodarenju otpadom ( Narodne novine 84/21 )  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>na  prijedloga Stručnog povjerenstva u postupku davanja koncesije za obavljanje javne usluge sakupljanja komunalnog otpada na području Općine Tovarnik</w:t>
      </w:r>
      <w:r w:rsidRPr="00966181">
        <w:rPr>
          <w:rFonts w:ascii="Book Antiqua" w:hAnsi="Book Antiqua"/>
          <w:sz w:val="24"/>
          <w:szCs w:val="24"/>
          <w:u w:color="000000"/>
        </w:rPr>
        <w:t xml:space="preserve">, </w:t>
      </w:r>
      <w:r w:rsidRPr="00966181">
        <w:rPr>
          <w:rFonts w:ascii="Book Antiqua" w:hAnsi="Book Antiqua"/>
          <w:sz w:val="24"/>
          <w:szCs w:val="24"/>
          <w:shd w:val="clear" w:color="auto" w:fill="FFFFFF"/>
          <w:lang w:val="nl-NL"/>
        </w:rPr>
        <w:t>Op</w:t>
      </w:r>
      <w:proofErr w:type="spellStart"/>
      <w:r w:rsidRPr="00966181">
        <w:rPr>
          <w:rFonts w:ascii="Book Antiqua" w:hAnsi="Book Antiqua"/>
          <w:sz w:val="24"/>
          <w:szCs w:val="24"/>
          <w:shd w:val="clear" w:color="auto" w:fill="FFFFFF"/>
        </w:rPr>
        <w:t>ćinsko</w:t>
      </w:r>
      <w:proofErr w:type="spellEnd"/>
      <w:r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proofErr w:type="spellStart"/>
      <w:r w:rsidRPr="00966181">
        <w:rPr>
          <w:rFonts w:ascii="Book Antiqua" w:hAnsi="Book Antiqua"/>
          <w:sz w:val="24"/>
          <w:szCs w:val="24"/>
          <w:shd w:val="clear" w:color="auto" w:fill="FFFFFF"/>
        </w:rPr>
        <w:t>vijeć</w:t>
      </w:r>
      <w:proofErr w:type="spellEnd"/>
      <w:r w:rsidRPr="00966181">
        <w:rPr>
          <w:rFonts w:ascii="Book Antiqua" w:hAnsi="Book Antiqua"/>
          <w:sz w:val="24"/>
          <w:szCs w:val="24"/>
          <w:shd w:val="clear" w:color="auto" w:fill="FFFFFF"/>
          <w:lang w:val="nl-NL"/>
        </w:rPr>
        <w:t>e Op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>ć</w:t>
      </w:r>
      <w:r w:rsidRPr="00966181">
        <w:rPr>
          <w:rFonts w:ascii="Book Antiqua" w:hAnsi="Book Antiqua"/>
          <w:sz w:val="24"/>
          <w:szCs w:val="24"/>
          <w:shd w:val="clear" w:color="auto" w:fill="FFFFFF"/>
          <w:lang w:val="de-DE"/>
        </w:rPr>
        <w:t xml:space="preserve">ine 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>Tovarnik na svojoj 10.  sjednici održanoj dana 27.06. 2022.g., donosi</w:t>
      </w:r>
    </w:p>
    <w:p w14:paraId="2C429E12" w14:textId="77777777" w:rsidR="00F84AB5" w:rsidRPr="00966181" w:rsidRDefault="00F84AB5" w:rsidP="00F84AB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</w:p>
    <w:p w14:paraId="12B6D336" w14:textId="77777777" w:rsidR="00F84AB5" w:rsidRPr="00966181" w:rsidRDefault="00F84AB5" w:rsidP="00F84AB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</w:p>
    <w:p w14:paraId="0AD17AB7" w14:textId="77777777" w:rsidR="00F84AB5" w:rsidRPr="00966181" w:rsidRDefault="00F84AB5" w:rsidP="00F84AB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Book Antiqua" w:eastAsia="Times New Roman" w:hAnsi="Book Antiqua" w:cs="Times New Roman"/>
          <w:b/>
          <w:bCs/>
          <w:sz w:val="24"/>
          <w:szCs w:val="24"/>
          <w:shd w:val="clear" w:color="auto" w:fill="FFFFFF"/>
        </w:rPr>
      </w:pPr>
      <w:r w:rsidRPr="00966181">
        <w:rPr>
          <w:rFonts w:ascii="Book Antiqua" w:hAnsi="Book Antiqua"/>
          <w:b/>
          <w:bCs/>
          <w:sz w:val="24"/>
          <w:szCs w:val="24"/>
          <w:shd w:val="clear" w:color="auto" w:fill="FFFFFF"/>
        </w:rPr>
        <w:t>ODLUKU O DAVANJU KONCESIJE</w:t>
      </w:r>
    </w:p>
    <w:p w14:paraId="215D6585" w14:textId="77777777" w:rsidR="00F84AB5" w:rsidRPr="00966181" w:rsidRDefault="00F84AB5" w:rsidP="00F84AB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966181">
        <w:rPr>
          <w:rFonts w:ascii="Book Antiqua" w:hAnsi="Book Antiqua"/>
          <w:b/>
          <w:bCs/>
          <w:sz w:val="24"/>
          <w:szCs w:val="24"/>
          <w:shd w:val="clear" w:color="auto" w:fill="FFFFFF"/>
        </w:rPr>
        <w:t>za obavljanje javne usluge sakupljanja komunalnog otpada na području Općine Tovarnik</w:t>
      </w:r>
    </w:p>
    <w:p w14:paraId="170C6B26" w14:textId="77777777" w:rsidR="00F84AB5" w:rsidRPr="00966181" w:rsidRDefault="00F84AB5" w:rsidP="00F84AB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color="000000"/>
        </w:rPr>
      </w:pPr>
    </w:p>
    <w:p w14:paraId="52773D63" w14:textId="77777777" w:rsidR="00F84AB5" w:rsidRPr="00966181" w:rsidRDefault="00F84AB5" w:rsidP="00F84AB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</w:p>
    <w:p w14:paraId="59E83699" w14:textId="701AB616" w:rsidR="00F84AB5" w:rsidRPr="00966181" w:rsidRDefault="00F84AB5" w:rsidP="00F84AB5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966181">
        <w:rPr>
          <w:rFonts w:ascii="Book Antiqua" w:hAnsi="Book Antiqua" w:cs="Arial"/>
          <w:b/>
          <w:sz w:val="24"/>
          <w:szCs w:val="24"/>
        </w:rPr>
        <w:t>I</w:t>
      </w:r>
      <w:r w:rsidR="00202EAA">
        <w:rPr>
          <w:rFonts w:ascii="Book Antiqua" w:hAnsi="Book Antiqua" w:cs="Arial"/>
          <w:b/>
          <w:sz w:val="24"/>
          <w:szCs w:val="24"/>
        </w:rPr>
        <w:t>.</w:t>
      </w:r>
    </w:p>
    <w:p w14:paraId="3C836738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966181">
        <w:rPr>
          <w:rFonts w:ascii="Book Antiqua" w:hAnsi="Book Antiqua" w:cs="Arial"/>
          <w:b/>
          <w:sz w:val="24"/>
          <w:szCs w:val="24"/>
        </w:rPr>
        <w:t>Podaci o Davatelju koncesije:</w:t>
      </w:r>
      <w:r w:rsidRPr="00966181">
        <w:rPr>
          <w:rFonts w:ascii="Book Antiqua" w:hAnsi="Book Antiqua" w:cs="Arial"/>
          <w:sz w:val="24"/>
          <w:szCs w:val="24"/>
        </w:rPr>
        <w:t xml:space="preserve">  </w:t>
      </w:r>
    </w:p>
    <w:p w14:paraId="181BAECE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966181">
        <w:rPr>
          <w:rFonts w:ascii="Book Antiqua" w:hAnsi="Book Antiqua" w:cs="Arial"/>
          <w:sz w:val="24"/>
          <w:szCs w:val="24"/>
        </w:rPr>
        <w:t xml:space="preserve">OPĆINA TOVARNIK, </w:t>
      </w:r>
      <w:r w:rsidRPr="00966181">
        <w:rPr>
          <w:rFonts w:ascii="Book Antiqua" w:hAnsi="Book Antiqua"/>
          <w:sz w:val="24"/>
          <w:szCs w:val="24"/>
        </w:rPr>
        <w:t>32 249 Tovarnik, A.G. Matoša 2</w:t>
      </w:r>
      <w:r w:rsidRPr="00966181">
        <w:rPr>
          <w:rFonts w:ascii="Book Antiqua" w:hAnsi="Book Antiqua" w:cs="Arial"/>
          <w:sz w:val="24"/>
          <w:szCs w:val="24"/>
        </w:rPr>
        <w:t xml:space="preserve">; OIB: </w:t>
      </w:r>
      <w:r w:rsidRPr="00966181">
        <w:rPr>
          <w:rFonts w:ascii="Book Antiqua" w:hAnsi="Book Antiqua" w:cs="Segoe Print"/>
          <w:sz w:val="24"/>
          <w:szCs w:val="24"/>
        </w:rPr>
        <w:t>38906942564</w:t>
      </w:r>
    </w:p>
    <w:p w14:paraId="790DD80B" w14:textId="44495248" w:rsidR="00F84AB5" w:rsidRPr="00966181" w:rsidRDefault="00F84AB5" w:rsidP="00F84AB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966181">
        <w:rPr>
          <w:rFonts w:ascii="Book Antiqua" w:hAnsi="Book Antiqua" w:cs="Arial"/>
          <w:sz w:val="24"/>
          <w:szCs w:val="24"/>
        </w:rPr>
        <w:t xml:space="preserve">Odgovorna osoba naručitelja: Anđelko Dobročinac, </w:t>
      </w:r>
      <w:proofErr w:type="spellStart"/>
      <w:r w:rsidRPr="00966181">
        <w:rPr>
          <w:rFonts w:ascii="Book Antiqua" w:hAnsi="Book Antiqua" w:cs="Arial"/>
          <w:sz w:val="24"/>
          <w:szCs w:val="24"/>
        </w:rPr>
        <w:t>dipl.ing</w:t>
      </w:r>
      <w:proofErr w:type="spellEnd"/>
      <w:r w:rsidRPr="00966181">
        <w:rPr>
          <w:rFonts w:ascii="Book Antiqua" w:hAnsi="Book Antiqua" w:cs="Arial"/>
          <w:sz w:val="24"/>
          <w:szCs w:val="24"/>
        </w:rPr>
        <w:t>., općinski načelnik</w:t>
      </w:r>
    </w:p>
    <w:p w14:paraId="23261B94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07FCC0BB" w14:textId="667FDDA6" w:rsidR="00F84AB5" w:rsidRPr="00966181" w:rsidRDefault="00F84AB5" w:rsidP="00F84AB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966181">
        <w:rPr>
          <w:rFonts w:ascii="Book Antiqua" w:hAnsi="Book Antiqua" w:cs="Arial"/>
          <w:sz w:val="24"/>
          <w:szCs w:val="24"/>
        </w:rPr>
        <w:t>Na temelju provedenog postupka davanja koncesije</w:t>
      </w:r>
      <w:r w:rsidRPr="00966181">
        <w:rPr>
          <w:rFonts w:ascii="Book Antiqua" w:hAnsi="Book Antiqua" w:cstheme="minorHAnsi"/>
          <w:bCs/>
          <w:sz w:val="24"/>
          <w:szCs w:val="24"/>
        </w:rPr>
        <w:t xml:space="preserve"> za o</w:t>
      </w:r>
      <w:r w:rsidRPr="00966181">
        <w:rPr>
          <w:rStyle w:val="Hiperveza"/>
          <w:rFonts w:ascii="Book Antiqua" w:hAnsi="Book Antiqua"/>
          <w:color w:val="auto"/>
          <w:sz w:val="24"/>
          <w:szCs w:val="24"/>
        </w:rPr>
        <w:t>bavljanje javne usluge sakupljanja  komunalnog otpada s područja Općine Tovarnik</w:t>
      </w:r>
      <w:r w:rsidRPr="00966181">
        <w:rPr>
          <w:rFonts w:ascii="Book Antiqua" w:hAnsi="Book Antiqua" w:cs="Arial"/>
          <w:sz w:val="24"/>
          <w:szCs w:val="24"/>
        </w:rPr>
        <w:t xml:space="preserve"> i prijedloga Stru</w:t>
      </w:r>
      <w:r w:rsidRPr="00966181">
        <w:rPr>
          <w:rFonts w:ascii="Book Antiqua" w:hAnsi="Book Antiqua" w:cs="Times New Roman"/>
          <w:sz w:val="24"/>
          <w:szCs w:val="24"/>
        </w:rPr>
        <w:t>č</w:t>
      </w:r>
      <w:r w:rsidRPr="00966181">
        <w:rPr>
          <w:rFonts w:ascii="Book Antiqua" w:hAnsi="Book Antiqua" w:cs="Arial"/>
          <w:sz w:val="24"/>
          <w:szCs w:val="24"/>
        </w:rPr>
        <w:t>nog povjerenstva za</w:t>
      </w:r>
      <w:r w:rsidRPr="00966181">
        <w:rPr>
          <w:rFonts w:ascii="Book Antiqua" w:hAnsi="Book Antiqua" w:cstheme="minorHAnsi"/>
          <w:bCs/>
          <w:sz w:val="24"/>
          <w:szCs w:val="24"/>
        </w:rPr>
        <w:t xml:space="preserve"> </w:t>
      </w:r>
      <w:r w:rsidRPr="00966181">
        <w:rPr>
          <w:rFonts w:ascii="Book Antiqua" w:hAnsi="Book Antiqua" w:cs="Arial"/>
          <w:sz w:val="24"/>
          <w:szCs w:val="24"/>
        </w:rPr>
        <w:t>koncesije, kao najpovoljniji ponuditelj odabire se:</w:t>
      </w:r>
    </w:p>
    <w:p w14:paraId="067A6FBF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tbl>
      <w:tblPr>
        <w:tblStyle w:val="Modernatablica"/>
        <w:tblpPr w:leftFromText="180" w:rightFromText="180" w:vertAnchor="text" w:horzAnchor="page" w:tblpX="2030" w:tblpY="98"/>
        <w:tblW w:w="0" w:type="auto"/>
        <w:tblLook w:val="01E0" w:firstRow="1" w:lastRow="1" w:firstColumn="1" w:lastColumn="1" w:noHBand="0" w:noVBand="0"/>
      </w:tblPr>
      <w:tblGrid>
        <w:gridCol w:w="1202"/>
        <w:gridCol w:w="4320"/>
      </w:tblGrid>
      <w:tr w:rsidR="00F84AB5" w:rsidRPr="00966181" w14:paraId="7982387E" w14:textId="77777777" w:rsidTr="00A6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2" w:type="dxa"/>
          </w:tcPr>
          <w:p w14:paraId="221DB380" w14:textId="77777777" w:rsidR="00F84AB5" w:rsidRPr="00966181" w:rsidRDefault="00F84AB5" w:rsidP="00A6442A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</w:rPr>
            </w:pPr>
            <w:r w:rsidRPr="00966181">
              <w:rPr>
                <w:rFonts w:ascii="Book Antiqua" w:eastAsia="Calibri" w:hAnsi="Book Antiqua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4320" w:type="dxa"/>
          </w:tcPr>
          <w:p w14:paraId="687C096B" w14:textId="77777777" w:rsidR="00F84AB5" w:rsidRPr="00966181" w:rsidRDefault="00F84AB5" w:rsidP="00A6442A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6181">
              <w:rPr>
                <w:rFonts w:ascii="Book Antiqua" w:hAnsi="Book Antiqua"/>
                <w:sz w:val="24"/>
                <w:szCs w:val="24"/>
              </w:rPr>
              <w:t>EKO- FLOR PLUS d.o.o.</w:t>
            </w:r>
          </w:p>
        </w:tc>
      </w:tr>
      <w:tr w:rsidR="00F84AB5" w:rsidRPr="00966181" w14:paraId="3C9A3AB9" w14:textId="77777777" w:rsidTr="00A6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2" w:type="dxa"/>
          </w:tcPr>
          <w:p w14:paraId="13BE25D3" w14:textId="77777777" w:rsidR="00F84AB5" w:rsidRPr="00966181" w:rsidRDefault="00F84AB5" w:rsidP="00A6442A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966181">
              <w:rPr>
                <w:rFonts w:ascii="Book Antiqua" w:eastAsia="Calibri" w:hAnsi="Book Antiqua"/>
                <w:b/>
                <w:sz w:val="24"/>
                <w:szCs w:val="24"/>
              </w:rPr>
              <w:t>sjedište</w:t>
            </w:r>
          </w:p>
        </w:tc>
        <w:tc>
          <w:tcPr>
            <w:tcW w:w="4320" w:type="dxa"/>
          </w:tcPr>
          <w:p w14:paraId="00BDC06F" w14:textId="77777777" w:rsidR="00F84AB5" w:rsidRPr="00966181" w:rsidRDefault="00F84AB5" w:rsidP="00A6442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66181">
              <w:rPr>
                <w:rFonts w:ascii="Book Antiqua" w:hAnsi="Book Antiqua"/>
                <w:sz w:val="24"/>
                <w:szCs w:val="24"/>
              </w:rPr>
              <w:t>Mokrice 180/c</w:t>
            </w:r>
          </w:p>
          <w:p w14:paraId="0A8C1F52" w14:textId="77777777" w:rsidR="00F84AB5" w:rsidRPr="00966181" w:rsidRDefault="00F84AB5" w:rsidP="00A6442A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66181">
              <w:rPr>
                <w:rFonts w:ascii="Book Antiqua" w:hAnsi="Book Antiqua"/>
                <w:sz w:val="24"/>
                <w:szCs w:val="24"/>
              </w:rPr>
              <w:t>49243 Oroslavje</w:t>
            </w:r>
          </w:p>
        </w:tc>
      </w:tr>
      <w:tr w:rsidR="00F84AB5" w:rsidRPr="00966181" w14:paraId="5A997C34" w14:textId="77777777" w:rsidTr="00A64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2" w:type="dxa"/>
          </w:tcPr>
          <w:p w14:paraId="03CB9773" w14:textId="77777777" w:rsidR="00F84AB5" w:rsidRPr="00966181" w:rsidRDefault="00F84AB5" w:rsidP="00A6442A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966181">
              <w:rPr>
                <w:rFonts w:ascii="Book Antiqua" w:eastAsia="Calibri" w:hAnsi="Book Antiqua"/>
                <w:b/>
                <w:sz w:val="24"/>
                <w:szCs w:val="24"/>
              </w:rPr>
              <w:t>OIB</w:t>
            </w:r>
          </w:p>
        </w:tc>
        <w:tc>
          <w:tcPr>
            <w:tcW w:w="4320" w:type="dxa"/>
          </w:tcPr>
          <w:p w14:paraId="347DD678" w14:textId="77777777" w:rsidR="00F84AB5" w:rsidRPr="00966181" w:rsidRDefault="00F84AB5" w:rsidP="00A6442A">
            <w:pPr>
              <w:spacing w:after="0" w:line="24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966181">
              <w:rPr>
                <w:rFonts w:ascii="Book Antiqua" w:hAnsi="Book Antiqua"/>
                <w:sz w:val="24"/>
                <w:szCs w:val="24"/>
              </w:rPr>
              <w:t>50730247993</w:t>
            </w:r>
          </w:p>
        </w:tc>
      </w:tr>
    </w:tbl>
    <w:p w14:paraId="4D3EC316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7BCF07EB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506FB5E9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68A28914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3E71B183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2AB3C1FD" w14:textId="77777777" w:rsidR="00F84AB5" w:rsidRPr="00966181" w:rsidRDefault="00F84AB5" w:rsidP="00F84AB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</w:p>
    <w:p w14:paraId="4D25C0C1" w14:textId="4BC86ED7" w:rsidR="00F84AB5" w:rsidRPr="00966181" w:rsidRDefault="00F84AB5" w:rsidP="00F84AB5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966181">
        <w:rPr>
          <w:rFonts w:ascii="Book Antiqua" w:hAnsi="Book Antiqua" w:cstheme="minorHAnsi"/>
          <w:b/>
          <w:sz w:val="24"/>
          <w:szCs w:val="24"/>
        </w:rPr>
        <w:t>II</w:t>
      </w:r>
      <w:r w:rsidR="00202EAA">
        <w:rPr>
          <w:rFonts w:ascii="Book Antiqua" w:hAnsi="Book Antiqua" w:cstheme="minorHAnsi"/>
          <w:b/>
          <w:sz w:val="24"/>
          <w:szCs w:val="24"/>
        </w:rPr>
        <w:t>.</w:t>
      </w:r>
    </w:p>
    <w:p w14:paraId="59DCC539" w14:textId="77777777" w:rsidR="004913D5" w:rsidRPr="00966181" w:rsidRDefault="004913D5" w:rsidP="004913D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  <w:bookmarkStart w:id="0" w:name="_Hlk65482478"/>
      <w:r w:rsidRPr="00202EAA">
        <w:rPr>
          <w:rFonts w:ascii="Book Antiqua" w:hAnsi="Book Antiqua"/>
          <w:b/>
          <w:bCs/>
          <w:sz w:val="24"/>
          <w:szCs w:val="24"/>
        </w:rPr>
        <w:t>Vrsta koncesije</w:t>
      </w:r>
      <w:r w:rsidRPr="00966181">
        <w:rPr>
          <w:rFonts w:ascii="Book Antiqua" w:hAnsi="Book Antiqua"/>
          <w:sz w:val="24"/>
          <w:szCs w:val="24"/>
        </w:rPr>
        <w:t xml:space="preserve"> je koncesija za usluge (članak 3. stavak 2. točka 3. Zakona o koncesijama).</w:t>
      </w:r>
      <w:bookmarkEnd w:id="0"/>
    </w:p>
    <w:p w14:paraId="7919479A" w14:textId="77777777" w:rsidR="004913D5" w:rsidRPr="00966181" w:rsidRDefault="004913D5" w:rsidP="00F84AB5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D8C66C6" w14:textId="666F15DA" w:rsidR="00077EC7" w:rsidRPr="00966181" w:rsidRDefault="00F84AB5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  <w:u w:color="231F20"/>
        </w:rPr>
      </w:pPr>
      <w:r w:rsidRPr="00202EAA">
        <w:rPr>
          <w:rFonts w:ascii="Book Antiqua" w:hAnsi="Book Antiqua" w:cstheme="minorHAnsi"/>
          <w:b/>
          <w:bCs/>
          <w:sz w:val="24"/>
          <w:szCs w:val="24"/>
        </w:rPr>
        <w:t>predmet koncesije</w:t>
      </w:r>
      <w:r w:rsidRPr="00966181">
        <w:rPr>
          <w:rFonts w:ascii="Book Antiqua" w:hAnsi="Book Antiqua" w:cstheme="minorHAnsi"/>
          <w:sz w:val="24"/>
          <w:szCs w:val="24"/>
        </w:rPr>
        <w:t xml:space="preserve"> je koncesija za </w:t>
      </w:r>
      <w:r w:rsidRPr="00966181">
        <w:rPr>
          <w:rFonts w:ascii="Book Antiqua" w:hAnsi="Book Antiqua" w:cstheme="minorHAnsi"/>
          <w:bCs/>
          <w:sz w:val="24"/>
          <w:szCs w:val="24"/>
        </w:rPr>
        <w:t>o</w:t>
      </w:r>
      <w:r w:rsidRPr="00966181">
        <w:rPr>
          <w:rStyle w:val="Hiperveza"/>
          <w:rFonts w:ascii="Book Antiqua" w:hAnsi="Book Antiqua"/>
          <w:color w:val="auto"/>
          <w:sz w:val="24"/>
          <w:szCs w:val="24"/>
          <w:u w:val="none"/>
        </w:rPr>
        <w:t>bavljanje javne usluge sakupljanja  komunalnog otpada na  područja Općine Tovarnik</w:t>
      </w:r>
      <w:r w:rsidRPr="00966181">
        <w:rPr>
          <w:rFonts w:ascii="Book Antiqua" w:hAnsi="Book Antiqua" w:cstheme="minorHAnsi"/>
          <w:color w:val="auto"/>
          <w:sz w:val="24"/>
          <w:szCs w:val="24"/>
        </w:rPr>
        <w:t xml:space="preserve"> sukladno članku </w:t>
      </w:r>
      <w:r w:rsidR="0083165C" w:rsidRPr="00966181">
        <w:rPr>
          <w:rFonts w:ascii="Book Antiqua" w:hAnsi="Book Antiqua" w:cstheme="minorHAnsi"/>
          <w:color w:val="auto"/>
          <w:sz w:val="24"/>
          <w:szCs w:val="24"/>
        </w:rPr>
        <w:t xml:space="preserve"> 64. </w:t>
      </w:r>
      <w:r w:rsidRPr="00966181">
        <w:rPr>
          <w:rFonts w:ascii="Book Antiqua" w:hAnsi="Book Antiqua" w:cstheme="minorHAnsi"/>
          <w:color w:val="auto"/>
          <w:sz w:val="24"/>
          <w:szCs w:val="24"/>
        </w:rPr>
        <w:t xml:space="preserve">Zakona o gospodarenju </w:t>
      </w:r>
      <w:r w:rsidRPr="00966181">
        <w:rPr>
          <w:rFonts w:ascii="Book Antiqua" w:hAnsi="Book Antiqua" w:cstheme="minorHAnsi"/>
          <w:sz w:val="24"/>
          <w:szCs w:val="24"/>
        </w:rPr>
        <w:t xml:space="preserve">otpadom ( </w:t>
      </w:r>
      <w:r w:rsidR="0083165C" w:rsidRPr="00966181">
        <w:rPr>
          <w:rFonts w:ascii="Book Antiqua" w:hAnsi="Book Antiqua" w:cstheme="minorHAnsi"/>
          <w:sz w:val="24"/>
          <w:szCs w:val="24"/>
        </w:rPr>
        <w:t xml:space="preserve">Narodne novine 84/21 ) </w:t>
      </w:r>
      <w:r w:rsidRPr="00966181">
        <w:rPr>
          <w:rFonts w:ascii="Book Antiqua" w:hAnsi="Book Antiqua" w:cstheme="minorHAnsi"/>
          <w:sz w:val="24"/>
          <w:szCs w:val="24"/>
        </w:rPr>
        <w:t xml:space="preserve"> </w:t>
      </w:r>
      <w:r w:rsidR="00077EC7" w:rsidRPr="00966181">
        <w:rPr>
          <w:rFonts w:ascii="Book Antiqua" w:hAnsi="Book Antiqua"/>
          <w:sz w:val="24"/>
          <w:szCs w:val="24"/>
          <w:u w:color="231F20"/>
        </w:rPr>
        <w:t xml:space="preserve">putem spremnika od pojedinog korisnika te prijevoz i predaja tog otpada </w:t>
      </w:r>
      <w:proofErr w:type="spellStart"/>
      <w:r w:rsidR="00077EC7" w:rsidRPr="00966181">
        <w:rPr>
          <w:rFonts w:ascii="Book Antiqua" w:hAnsi="Book Antiqua"/>
          <w:sz w:val="24"/>
          <w:szCs w:val="24"/>
          <w:u w:color="231F20"/>
        </w:rPr>
        <w:t>ovlas</w:t>
      </w:r>
      <w:r w:rsidR="00077EC7" w:rsidRPr="00966181">
        <w:rPr>
          <w:rFonts w:ascii="Times New Roman" w:hAnsi="Times New Roman" w:cs="Times New Roman"/>
          <w:sz w:val="24"/>
          <w:szCs w:val="24"/>
          <w:u w:color="231F20"/>
        </w:rPr>
        <w:t>̌</w:t>
      </w:r>
      <w:r w:rsidR="00077EC7" w:rsidRPr="00966181">
        <w:rPr>
          <w:rFonts w:ascii="Book Antiqua" w:hAnsi="Book Antiqua"/>
          <w:sz w:val="24"/>
          <w:szCs w:val="24"/>
          <w:u w:color="231F20"/>
        </w:rPr>
        <w:t>tenoj</w:t>
      </w:r>
      <w:proofErr w:type="spellEnd"/>
      <w:r w:rsidR="00077EC7" w:rsidRPr="00966181">
        <w:rPr>
          <w:rFonts w:ascii="Book Antiqua" w:hAnsi="Book Antiqua"/>
          <w:sz w:val="24"/>
          <w:szCs w:val="24"/>
          <w:u w:color="231F20"/>
        </w:rPr>
        <w:t xml:space="preserve"> osobi za obradu otpada sukladno Zakonu o gospodarenju otpadom (N</w:t>
      </w:r>
      <w:r w:rsidR="00966181">
        <w:rPr>
          <w:rFonts w:ascii="Book Antiqua" w:hAnsi="Book Antiqua"/>
          <w:sz w:val="24"/>
          <w:szCs w:val="24"/>
          <w:u w:color="231F20"/>
        </w:rPr>
        <w:t>arodne novine</w:t>
      </w:r>
      <w:r w:rsidR="00077EC7" w:rsidRPr="00966181">
        <w:rPr>
          <w:rFonts w:ascii="Book Antiqua" w:hAnsi="Book Antiqua"/>
          <w:sz w:val="24"/>
          <w:szCs w:val="24"/>
          <w:u w:color="231F20"/>
        </w:rPr>
        <w:t xml:space="preserve"> 84/21), Odluci o načinu pružanja javne </w:t>
      </w:r>
      <w:r w:rsidR="00077EC7" w:rsidRPr="00966181">
        <w:rPr>
          <w:rFonts w:ascii="Book Antiqua" w:hAnsi="Book Antiqua"/>
          <w:sz w:val="24"/>
          <w:szCs w:val="24"/>
          <w:u w:color="231F20"/>
        </w:rPr>
        <w:lastRenderedPageBreak/>
        <w:t xml:space="preserve">usluge sakupljanja komunalnog otpada na području Općine Tovarnik od 06.prosinca 2021.g., klasa 021-05/21-03/8, </w:t>
      </w:r>
      <w:proofErr w:type="spellStart"/>
      <w:r w:rsidR="00077EC7" w:rsidRPr="00966181">
        <w:rPr>
          <w:rFonts w:ascii="Book Antiqua" w:hAnsi="Book Antiqua"/>
          <w:sz w:val="24"/>
          <w:szCs w:val="24"/>
          <w:u w:color="231F20"/>
        </w:rPr>
        <w:t>urbroj</w:t>
      </w:r>
      <w:proofErr w:type="spellEnd"/>
      <w:r w:rsidR="00077EC7" w:rsidRPr="00966181">
        <w:rPr>
          <w:rFonts w:ascii="Book Antiqua" w:hAnsi="Book Antiqua"/>
          <w:sz w:val="24"/>
          <w:szCs w:val="24"/>
          <w:u w:color="231F20"/>
        </w:rPr>
        <w:t xml:space="preserve"> 2188/12-04/01-21-1 koja je objavljena u Službenom vjesniku Vukovarsko-srijemske županije br. 25/21 od 10.12.2021., stupila na snagu 18.prosinca 2021.g. i Općim uvjetima ugovora o korištenju javne usluge sakupljanja komunalnog otpada na području Općine Tovarnik.</w:t>
      </w:r>
    </w:p>
    <w:p w14:paraId="1E4F992A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  <w:u w:color="231F20"/>
        </w:rPr>
      </w:pPr>
    </w:p>
    <w:p w14:paraId="6EB3B4ED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  <w:u w:color="231F20"/>
        </w:rPr>
      </w:pPr>
      <w:r w:rsidRPr="00966181">
        <w:rPr>
          <w:rFonts w:ascii="Book Antiqua" w:hAnsi="Book Antiqua"/>
          <w:sz w:val="24"/>
          <w:szCs w:val="24"/>
          <w:u w:color="231F20"/>
        </w:rPr>
        <w:t xml:space="preserve">Javna usluga je usluga od općeg interesa i podrazumijeva usluge prikupljanja miješanog komunalnog otpada, biootpada, </w:t>
      </w:r>
      <w:proofErr w:type="spellStart"/>
      <w:r w:rsidRPr="00966181">
        <w:rPr>
          <w:rFonts w:ascii="Book Antiqua" w:hAnsi="Book Antiqua"/>
          <w:sz w:val="24"/>
          <w:szCs w:val="24"/>
          <w:u w:color="231F20"/>
        </w:rPr>
        <w:t>reciklabilnog</w:t>
      </w:r>
      <w:proofErr w:type="spellEnd"/>
      <w:r w:rsidRPr="00966181">
        <w:rPr>
          <w:rFonts w:ascii="Book Antiqua" w:hAnsi="Book Antiqua"/>
          <w:sz w:val="24"/>
          <w:szCs w:val="24"/>
          <w:u w:color="231F20"/>
        </w:rPr>
        <w:t xml:space="preserve"> komunalnog otpada, jednom godišnje glomaznog otpada na lokaciji obračunskog mjesta korisnika, preuzimanja otpada u </w:t>
      </w:r>
      <w:proofErr w:type="spellStart"/>
      <w:r w:rsidRPr="00966181">
        <w:rPr>
          <w:rFonts w:ascii="Book Antiqua" w:hAnsi="Book Antiqua"/>
          <w:sz w:val="24"/>
          <w:szCs w:val="24"/>
          <w:u w:color="231F20"/>
        </w:rPr>
        <w:t>reciklažnom</w:t>
      </w:r>
      <w:proofErr w:type="spellEnd"/>
      <w:r w:rsidRPr="00966181">
        <w:rPr>
          <w:rFonts w:ascii="Book Antiqua" w:hAnsi="Book Antiqua"/>
          <w:sz w:val="24"/>
          <w:szCs w:val="24"/>
          <w:u w:color="231F20"/>
        </w:rPr>
        <w:t xml:space="preserve"> dvorištu i mobilnom </w:t>
      </w:r>
      <w:proofErr w:type="spellStart"/>
      <w:r w:rsidRPr="00966181">
        <w:rPr>
          <w:rFonts w:ascii="Book Antiqua" w:hAnsi="Book Antiqua"/>
          <w:sz w:val="24"/>
          <w:szCs w:val="24"/>
          <w:u w:color="231F20"/>
        </w:rPr>
        <w:t>reciklažnom</w:t>
      </w:r>
      <w:proofErr w:type="spellEnd"/>
      <w:r w:rsidRPr="00966181">
        <w:rPr>
          <w:rFonts w:ascii="Book Antiqua" w:hAnsi="Book Antiqua"/>
          <w:sz w:val="24"/>
          <w:szCs w:val="24"/>
          <w:u w:color="231F20"/>
        </w:rPr>
        <w:t xml:space="preserve"> dvorištu te prijevoza i predaje otpada ovlaštenoj osobi –</w:t>
      </w:r>
      <w:proofErr w:type="spellStart"/>
      <w:r w:rsidRPr="00966181">
        <w:rPr>
          <w:rFonts w:ascii="Book Antiqua" w:hAnsi="Book Antiqua"/>
          <w:sz w:val="24"/>
          <w:szCs w:val="24"/>
          <w:u w:color="231F20"/>
        </w:rPr>
        <w:t>zbrinjavatelju</w:t>
      </w:r>
      <w:proofErr w:type="spellEnd"/>
      <w:r w:rsidRPr="00966181">
        <w:rPr>
          <w:rFonts w:ascii="Book Antiqua" w:hAnsi="Book Antiqua"/>
          <w:sz w:val="24"/>
          <w:szCs w:val="24"/>
          <w:u w:color="231F20"/>
        </w:rPr>
        <w:t>/</w:t>
      </w:r>
      <w:proofErr w:type="spellStart"/>
      <w:r w:rsidRPr="00966181">
        <w:rPr>
          <w:rFonts w:ascii="Book Antiqua" w:hAnsi="Book Antiqua"/>
          <w:sz w:val="24"/>
          <w:szCs w:val="24"/>
          <w:u w:color="231F20"/>
        </w:rPr>
        <w:t>oporabitelju</w:t>
      </w:r>
      <w:proofErr w:type="spellEnd"/>
      <w:r w:rsidRPr="00966181">
        <w:rPr>
          <w:rFonts w:ascii="Book Antiqua" w:hAnsi="Book Antiqua"/>
          <w:sz w:val="24"/>
          <w:szCs w:val="24"/>
          <w:u w:color="231F20"/>
        </w:rPr>
        <w:t xml:space="preserve"> otpada.</w:t>
      </w:r>
    </w:p>
    <w:p w14:paraId="7F30CBAD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  <w:u w:color="231F20"/>
        </w:rPr>
      </w:pPr>
    </w:p>
    <w:p w14:paraId="0E029520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  <w:u w:color="231F20"/>
        </w:rPr>
      </w:pPr>
      <w:r w:rsidRPr="00966181">
        <w:rPr>
          <w:rFonts w:ascii="Book Antiqua" w:hAnsi="Book Antiqua"/>
          <w:sz w:val="24"/>
          <w:szCs w:val="24"/>
          <w:u w:color="231F20"/>
        </w:rPr>
        <w:t xml:space="preserve">Djelatnost sakupljanja otpada je djelatnost koja uključuje postupak sakupljanja otpada i postupak sakupljanja otpada u </w:t>
      </w:r>
      <w:proofErr w:type="spellStart"/>
      <w:r w:rsidRPr="00966181">
        <w:rPr>
          <w:rFonts w:ascii="Book Antiqua" w:hAnsi="Book Antiqua"/>
          <w:sz w:val="24"/>
          <w:szCs w:val="24"/>
          <w:u w:color="231F20"/>
        </w:rPr>
        <w:t>reciklažnom</w:t>
      </w:r>
      <w:proofErr w:type="spellEnd"/>
      <w:r w:rsidRPr="00966181">
        <w:rPr>
          <w:rFonts w:ascii="Book Antiqua" w:hAnsi="Book Antiqua"/>
          <w:sz w:val="24"/>
          <w:szCs w:val="24"/>
          <w:u w:color="231F20"/>
        </w:rPr>
        <w:t xml:space="preserve"> dvorištu.</w:t>
      </w:r>
    </w:p>
    <w:p w14:paraId="141FA80C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  <w:u w:color="231F20"/>
        </w:rPr>
      </w:pPr>
    </w:p>
    <w:p w14:paraId="1D7E8969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  <w:u w:color="231F20"/>
        </w:rPr>
      </w:pPr>
      <w:r w:rsidRPr="00966181">
        <w:rPr>
          <w:rFonts w:ascii="Book Antiqua" w:hAnsi="Book Antiqua"/>
          <w:sz w:val="24"/>
          <w:szCs w:val="24"/>
          <w:u w:color="231F20"/>
        </w:rPr>
        <w:t>Sakupljanje otpada je prikupljanje otpada, uključujući prethodno razvrstavanje otpada i skladištenje otpada u svrhu prijevoza na obradu</w:t>
      </w:r>
    </w:p>
    <w:p w14:paraId="1A6A4BB3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  <w:u w:color="231F20"/>
        </w:rPr>
      </w:pPr>
    </w:p>
    <w:p w14:paraId="7AE6E199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  <w:u w:color="231F20"/>
        </w:rPr>
      </w:pPr>
      <w:r w:rsidRPr="00966181">
        <w:rPr>
          <w:rFonts w:ascii="Book Antiqua" w:hAnsi="Book Antiqua"/>
          <w:sz w:val="24"/>
          <w:szCs w:val="24"/>
          <w:u w:color="231F20"/>
        </w:rPr>
        <w:t>Na području Općine Tovarnik javnu uslugu pruža pravna ili fizička osoba putem Ugovora o koncesiji.</w:t>
      </w:r>
    </w:p>
    <w:p w14:paraId="0669A70B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  <w:u w:color="231F20"/>
        </w:rPr>
      </w:pPr>
    </w:p>
    <w:p w14:paraId="1E39F93C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  <w:u w:color="231F20"/>
        </w:rPr>
      </w:pPr>
      <w:r w:rsidRPr="00966181">
        <w:rPr>
          <w:rFonts w:ascii="Book Antiqua" w:hAnsi="Book Antiqua"/>
          <w:sz w:val="24"/>
          <w:szCs w:val="24"/>
          <w:u w:color="231F20"/>
        </w:rPr>
        <w:t>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usluge, ili stvarni korisnik nekretnine. Skupina korisnika javne usluge može, na vlastiti zahtjev i sukladno međusobnom sporazumu, zajednički nastupati prema davatelju javne usluge.</w:t>
      </w:r>
    </w:p>
    <w:p w14:paraId="0BDD00C1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hAnsi="Book Antiqua"/>
          <w:sz w:val="24"/>
          <w:szCs w:val="24"/>
          <w:u w:color="231F20"/>
        </w:rPr>
      </w:pPr>
    </w:p>
    <w:p w14:paraId="236C327B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hAnsi="Book Antiqua"/>
          <w:sz w:val="24"/>
          <w:szCs w:val="24"/>
          <w:u w:color="231F20"/>
        </w:rPr>
      </w:pPr>
      <w:r w:rsidRPr="00202EAA">
        <w:rPr>
          <w:rFonts w:ascii="Book Antiqua" w:hAnsi="Book Antiqua"/>
          <w:b/>
          <w:bCs/>
          <w:sz w:val="24"/>
          <w:szCs w:val="24"/>
          <w:u w:color="231F20"/>
        </w:rPr>
        <w:t>Područje pružanja javne usluge</w:t>
      </w:r>
      <w:r w:rsidRPr="00966181">
        <w:rPr>
          <w:rFonts w:ascii="Book Antiqua" w:hAnsi="Book Antiqua"/>
          <w:sz w:val="24"/>
          <w:szCs w:val="24"/>
          <w:u w:color="231F20"/>
        </w:rPr>
        <w:t xml:space="preserve"> obuhvaća područje Općine Tovarnik, naselja </w:t>
      </w:r>
      <w:proofErr w:type="spellStart"/>
      <w:r w:rsidRPr="00966181">
        <w:rPr>
          <w:rFonts w:ascii="Book Antiqua" w:hAnsi="Book Antiqua"/>
          <w:sz w:val="24"/>
          <w:szCs w:val="24"/>
          <w:u w:color="231F20"/>
        </w:rPr>
        <w:t>Ilača</w:t>
      </w:r>
      <w:proofErr w:type="spellEnd"/>
      <w:r w:rsidRPr="00966181">
        <w:rPr>
          <w:rFonts w:ascii="Book Antiqua" w:hAnsi="Book Antiqua"/>
          <w:sz w:val="24"/>
          <w:szCs w:val="24"/>
          <w:u w:color="231F20"/>
        </w:rPr>
        <w:t xml:space="preserve"> I Tovarnik. </w:t>
      </w:r>
    </w:p>
    <w:p w14:paraId="18563880" w14:textId="442CEB6C" w:rsidR="00077EC7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hAnsi="Book Antiqua"/>
          <w:sz w:val="24"/>
          <w:szCs w:val="24"/>
          <w:u w:color="231F20"/>
        </w:rPr>
      </w:pPr>
    </w:p>
    <w:p w14:paraId="0A506D79" w14:textId="5D2013AB" w:rsidR="00202EAA" w:rsidRPr="00202EAA" w:rsidRDefault="00202EAA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hAnsi="Book Antiqua"/>
          <w:b/>
          <w:bCs/>
          <w:sz w:val="24"/>
          <w:szCs w:val="24"/>
          <w:u w:color="231F20"/>
        </w:rPr>
      </w:pPr>
      <w:r w:rsidRPr="00202EAA">
        <w:rPr>
          <w:rFonts w:ascii="Book Antiqua" w:hAnsi="Book Antiqua"/>
          <w:b/>
          <w:bCs/>
          <w:sz w:val="24"/>
          <w:szCs w:val="24"/>
          <w:u w:color="231F20"/>
        </w:rPr>
        <w:t xml:space="preserve">Priroda i opseg </w:t>
      </w:r>
      <w:r>
        <w:rPr>
          <w:rFonts w:ascii="Book Antiqua" w:hAnsi="Book Antiqua"/>
          <w:b/>
          <w:bCs/>
          <w:sz w:val="24"/>
          <w:szCs w:val="24"/>
          <w:u w:color="231F20"/>
        </w:rPr>
        <w:t xml:space="preserve">javne usluge </w:t>
      </w:r>
    </w:p>
    <w:p w14:paraId="3DFA2681" w14:textId="77777777" w:rsidR="00202EAA" w:rsidRDefault="00202EAA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hAnsi="Book Antiqua"/>
          <w:sz w:val="24"/>
          <w:szCs w:val="24"/>
          <w:u w:color="231F20"/>
        </w:rPr>
      </w:pPr>
    </w:p>
    <w:p w14:paraId="29650136" w14:textId="2CF13E92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  <w:u w:color="231F20"/>
        </w:rPr>
      </w:pPr>
      <w:r w:rsidRPr="00966181">
        <w:rPr>
          <w:rFonts w:ascii="Book Antiqua" w:hAnsi="Book Antiqua"/>
          <w:sz w:val="24"/>
          <w:szCs w:val="24"/>
          <w:u w:color="231F20"/>
        </w:rPr>
        <w:t>Javna usluga, koja je predmet ove koncesije je usluga od općeg interesa te uključuje sljedeće usluge:</w:t>
      </w:r>
    </w:p>
    <w:p w14:paraId="22EC4791" w14:textId="77777777" w:rsidR="00077EC7" w:rsidRPr="00966181" w:rsidRDefault="00077EC7" w:rsidP="00077EC7">
      <w:pPr>
        <w:pStyle w:val="Default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966181">
        <w:rPr>
          <w:rFonts w:ascii="Book Antiqua" w:hAnsi="Book Antiqua"/>
          <w:sz w:val="24"/>
          <w:szCs w:val="24"/>
          <w:u w:color="231F20"/>
        </w:rPr>
        <w:t>uslugu prikupljanja na lokaciji obračunskog mjesta korisnika usluge</w:t>
      </w:r>
    </w:p>
    <w:p w14:paraId="5D823C12" w14:textId="77777777" w:rsidR="00077EC7" w:rsidRPr="00966181" w:rsidRDefault="00077EC7" w:rsidP="00077EC7">
      <w:pPr>
        <w:pStyle w:val="Default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966181">
        <w:rPr>
          <w:rFonts w:ascii="Book Antiqua" w:hAnsi="Book Antiqua"/>
          <w:sz w:val="24"/>
          <w:szCs w:val="24"/>
          <w:u w:color="231F20"/>
        </w:rPr>
        <w:t>miješanog komunalnog otpada,</w:t>
      </w:r>
    </w:p>
    <w:p w14:paraId="684779CB" w14:textId="77777777" w:rsidR="00077EC7" w:rsidRPr="00966181" w:rsidRDefault="00077EC7" w:rsidP="00077EC7">
      <w:pPr>
        <w:pStyle w:val="Default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966181">
        <w:rPr>
          <w:rFonts w:ascii="Book Antiqua" w:hAnsi="Book Antiqua"/>
          <w:sz w:val="24"/>
          <w:szCs w:val="24"/>
          <w:u w:color="231F20"/>
        </w:rPr>
        <w:t>biootpada,</w:t>
      </w:r>
    </w:p>
    <w:p w14:paraId="1918593C" w14:textId="77777777" w:rsidR="00077EC7" w:rsidRPr="00966181" w:rsidRDefault="00077EC7" w:rsidP="00077EC7">
      <w:pPr>
        <w:pStyle w:val="Default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proofErr w:type="spellStart"/>
      <w:r w:rsidRPr="00966181">
        <w:rPr>
          <w:rFonts w:ascii="Book Antiqua" w:hAnsi="Book Antiqua"/>
          <w:sz w:val="24"/>
          <w:szCs w:val="24"/>
          <w:u w:color="231F20"/>
        </w:rPr>
        <w:t>reciklabilnog</w:t>
      </w:r>
      <w:proofErr w:type="spellEnd"/>
      <w:r w:rsidRPr="00966181">
        <w:rPr>
          <w:rFonts w:ascii="Book Antiqua" w:hAnsi="Book Antiqua"/>
          <w:sz w:val="24"/>
          <w:szCs w:val="24"/>
          <w:u w:color="231F20"/>
        </w:rPr>
        <w:t xml:space="preserve"> komunalnog otpada i</w:t>
      </w:r>
    </w:p>
    <w:p w14:paraId="56240945" w14:textId="77777777" w:rsidR="00077EC7" w:rsidRPr="00966181" w:rsidRDefault="00077EC7" w:rsidP="00077EC7">
      <w:pPr>
        <w:pStyle w:val="Default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966181">
        <w:rPr>
          <w:rFonts w:ascii="Book Antiqua" w:hAnsi="Book Antiqua"/>
          <w:sz w:val="24"/>
          <w:szCs w:val="24"/>
          <w:u w:color="231F20"/>
        </w:rPr>
        <w:t>glomaznog otpada jednom godišnje te</w:t>
      </w:r>
    </w:p>
    <w:p w14:paraId="3F8477EE" w14:textId="77777777" w:rsidR="00077EC7" w:rsidRPr="00966181" w:rsidRDefault="00077EC7" w:rsidP="00077EC7">
      <w:pPr>
        <w:pStyle w:val="Default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966181">
        <w:rPr>
          <w:rFonts w:ascii="Book Antiqua" w:hAnsi="Book Antiqua"/>
          <w:sz w:val="24"/>
          <w:szCs w:val="24"/>
          <w:u w:color="231F20"/>
        </w:rPr>
        <w:t xml:space="preserve">uslugu preuzimanja otpada u </w:t>
      </w:r>
      <w:proofErr w:type="spellStart"/>
      <w:r w:rsidRPr="00966181">
        <w:rPr>
          <w:rFonts w:ascii="Book Antiqua" w:hAnsi="Book Antiqua"/>
          <w:sz w:val="24"/>
          <w:szCs w:val="24"/>
          <w:u w:color="231F20"/>
        </w:rPr>
        <w:t>reciklažnom</w:t>
      </w:r>
      <w:proofErr w:type="spellEnd"/>
      <w:r w:rsidRPr="00966181">
        <w:rPr>
          <w:rFonts w:ascii="Book Antiqua" w:hAnsi="Book Antiqua"/>
          <w:sz w:val="24"/>
          <w:szCs w:val="24"/>
          <w:u w:color="231F20"/>
        </w:rPr>
        <w:t xml:space="preserve"> dvorištu/mobilnom </w:t>
      </w:r>
      <w:proofErr w:type="spellStart"/>
      <w:r w:rsidRPr="00966181">
        <w:rPr>
          <w:rFonts w:ascii="Book Antiqua" w:hAnsi="Book Antiqua"/>
          <w:sz w:val="24"/>
          <w:szCs w:val="24"/>
          <w:u w:color="231F20"/>
        </w:rPr>
        <w:t>reciklažnom</w:t>
      </w:r>
      <w:proofErr w:type="spellEnd"/>
      <w:r w:rsidRPr="00966181">
        <w:rPr>
          <w:rFonts w:ascii="Book Antiqua" w:hAnsi="Book Antiqua"/>
          <w:sz w:val="24"/>
          <w:szCs w:val="24"/>
          <w:u w:color="231F20"/>
        </w:rPr>
        <w:t xml:space="preserve"> dvorištu i</w:t>
      </w:r>
    </w:p>
    <w:p w14:paraId="57F9B376" w14:textId="77777777" w:rsidR="00077EC7" w:rsidRPr="00966181" w:rsidRDefault="00077EC7" w:rsidP="00077EC7">
      <w:pPr>
        <w:pStyle w:val="Default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966181">
        <w:rPr>
          <w:rFonts w:ascii="Book Antiqua" w:hAnsi="Book Antiqua"/>
          <w:sz w:val="24"/>
          <w:szCs w:val="24"/>
          <w:u w:color="231F20"/>
        </w:rPr>
        <w:t>uslugu prijevoza i predaje otpada ovlaštenoj osobi.</w:t>
      </w:r>
    </w:p>
    <w:p w14:paraId="21669315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eastAsia="Times New Roman" w:hAnsi="Book Antiqua" w:cs="Times New Roman"/>
          <w:sz w:val="24"/>
          <w:szCs w:val="24"/>
          <w:u w:color="231F20"/>
        </w:rPr>
      </w:pPr>
    </w:p>
    <w:p w14:paraId="77253E9A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sz w:val="24"/>
          <w:szCs w:val="24"/>
          <w:u w:color="231F20"/>
        </w:rPr>
      </w:pPr>
      <w:r w:rsidRPr="00966181">
        <w:rPr>
          <w:rFonts w:ascii="Book Antiqua" w:hAnsi="Book Antiqua"/>
          <w:sz w:val="24"/>
          <w:szCs w:val="24"/>
          <w:u w:color="231F20"/>
        </w:rPr>
        <w:t xml:space="preserve">Sukladno članku 4. stavak 1. točka 20. Zakona o gospodarenju otpadom, komunalni otpad je miješani komunalni otpad i odvojeno sakupljeni otpad iz kućanstava, uključujući papir i karton, staklo, metal, plastiku, biootpad, drvo, tekstil, ambalažu, otpadnu električnu i elektroničku opremu, otpadne baterije i akumulatore te glomazni otpad, uključujući madrace i namještaj te miješani komunalni otpad i odvojeno </w:t>
      </w:r>
      <w:r w:rsidRPr="00966181">
        <w:rPr>
          <w:rFonts w:ascii="Book Antiqua" w:hAnsi="Book Antiqua"/>
          <w:sz w:val="24"/>
          <w:szCs w:val="24"/>
          <w:u w:color="231F20"/>
        </w:rPr>
        <w:lastRenderedPageBreak/>
        <w:t>sakupljeni otpad iz drugih izvora, ako je taj otpad sličan po prirodi i sastavu otpadu iz kućanstva, ali ne uključuje otpad iz proizvodnje, poljoprivrede, šumarstva, ribarstva i akvakulture, septičkih jama i kanalizacije i uređaja za obradu otpadnih voda, uključujući kanalizacijski mulj, otpadna vozila i građevni otpad, pri čemu se ovom definicijom ne dovodi u pitanje raspodjela odgovornosti za gospodarenje otpadom između javnih i privatnih subjekata.</w:t>
      </w:r>
    </w:p>
    <w:p w14:paraId="6ADFA011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sz w:val="24"/>
          <w:szCs w:val="24"/>
          <w:u w:color="231F20"/>
        </w:rPr>
      </w:pPr>
    </w:p>
    <w:p w14:paraId="200C8B69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sz w:val="24"/>
          <w:szCs w:val="24"/>
          <w:u w:color="231F20"/>
        </w:rPr>
      </w:pPr>
      <w:r w:rsidRPr="00966181">
        <w:rPr>
          <w:rFonts w:ascii="Book Antiqua" w:hAnsi="Book Antiqua"/>
          <w:color w:val="231F20"/>
          <w:sz w:val="24"/>
          <w:szCs w:val="24"/>
          <w:u w:color="231F20"/>
        </w:rPr>
        <w:t>Sukladno članku 4. stavak 1. točka 24. Zakona o gospodarenju otpadom, miješani komunalni otpad je otpad iz kućanstva i otpad iz drugih izvora koji je po svojstvima i sastavu sličan otpadu iz kućanstava, te je u Katalogu otpada označen kao 20 03 01.</w:t>
      </w:r>
    </w:p>
    <w:p w14:paraId="1C4D0FE4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sz w:val="24"/>
          <w:szCs w:val="24"/>
          <w:u w:color="231F20"/>
        </w:rPr>
      </w:pPr>
    </w:p>
    <w:p w14:paraId="53676203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sz w:val="24"/>
          <w:szCs w:val="24"/>
          <w:u w:color="231F20"/>
        </w:rPr>
      </w:pPr>
      <w:r w:rsidRPr="00966181">
        <w:rPr>
          <w:rFonts w:ascii="Book Antiqua" w:hAnsi="Book Antiqua"/>
          <w:color w:val="231F20"/>
          <w:sz w:val="24"/>
          <w:szCs w:val="24"/>
          <w:u w:color="231F20"/>
        </w:rPr>
        <w:t>Sukladno članku 4. stavak 1. točka 3. Zakona o gospodarenju otpadom, biootpad je biološki razgradiv otpad iz vrtova i parkova, hrana i kuhinjski otpad iz kućanstava, restorana, ugostiteljskih i maloprodajnih objekata i slični otpad iz prehrambene industrije.</w:t>
      </w:r>
    </w:p>
    <w:p w14:paraId="4027F22B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sz w:val="24"/>
          <w:szCs w:val="24"/>
          <w:u w:color="231F20"/>
        </w:rPr>
      </w:pPr>
    </w:p>
    <w:p w14:paraId="578236BC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sz w:val="24"/>
          <w:szCs w:val="24"/>
          <w:u w:color="231F20"/>
        </w:rPr>
      </w:pPr>
      <w:r w:rsidRPr="00966181">
        <w:rPr>
          <w:rFonts w:ascii="Book Antiqua" w:hAnsi="Book Antiqua"/>
          <w:color w:val="231F20"/>
          <w:sz w:val="24"/>
          <w:szCs w:val="24"/>
          <w:u w:color="231F20"/>
        </w:rPr>
        <w:t xml:space="preserve">Sukladno članku 4. stavak 1. točka 68. Zakona o gospodarenju otpadom, </w:t>
      </w:r>
      <w:proofErr w:type="spellStart"/>
      <w:r w:rsidRPr="00966181">
        <w:rPr>
          <w:rFonts w:ascii="Book Antiqua" w:hAnsi="Book Antiqua"/>
          <w:color w:val="231F20"/>
          <w:sz w:val="24"/>
          <w:szCs w:val="24"/>
          <w:u w:color="231F20"/>
        </w:rPr>
        <w:t>reciklabilni</w:t>
      </w:r>
      <w:proofErr w:type="spellEnd"/>
      <w:r w:rsidRPr="00966181">
        <w:rPr>
          <w:rFonts w:ascii="Book Antiqua" w:hAnsi="Book Antiqua"/>
          <w:color w:val="231F20"/>
          <w:sz w:val="24"/>
          <w:szCs w:val="24"/>
          <w:u w:color="231F20"/>
        </w:rPr>
        <w:t xml:space="preserve"> komunalni otpad je otpadni papir i karton, otpadna plastika, otpadni metal i otpadno staklo, uključujući otpadnu ambalažu, iz kućanstva koji su komunalni otpad.</w:t>
      </w:r>
    </w:p>
    <w:p w14:paraId="397A9F57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sz w:val="24"/>
          <w:szCs w:val="24"/>
          <w:u w:color="231F20"/>
        </w:rPr>
      </w:pPr>
    </w:p>
    <w:p w14:paraId="303FACAA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sz w:val="24"/>
          <w:szCs w:val="24"/>
          <w:u w:color="231F20"/>
        </w:rPr>
      </w:pPr>
      <w:r w:rsidRPr="00966181">
        <w:rPr>
          <w:rFonts w:ascii="Book Antiqua" w:hAnsi="Book Antiqua"/>
          <w:color w:val="231F20"/>
          <w:sz w:val="24"/>
          <w:szCs w:val="24"/>
          <w:u w:color="231F20"/>
        </w:rPr>
        <w:t>Sukladno članku 4. stavak 1. točka 19. Zakona o gospodarenju otpadom, glomazni otpad je otpadni predmet ili tvar koju je zbog zapremine i/ili mase neprikladno prikupljati u sklopu usluge prikupljanja miješanog komunalnog otpada te je u Katalogu otpada označen kao 20 03 07.</w:t>
      </w:r>
    </w:p>
    <w:p w14:paraId="15CFCA5B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sz w:val="24"/>
          <w:szCs w:val="24"/>
          <w:u w:color="231F20"/>
        </w:rPr>
      </w:pPr>
    </w:p>
    <w:p w14:paraId="5F92BB4E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sz w:val="24"/>
          <w:szCs w:val="24"/>
          <w:u w:color="231F20"/>
        </w:rPr>
      </w:pPr>
      <w:r w:rsidRPr="00966181">
        <w:rPr>
          <w:rFonts w:ascii="Book Antiqua" w:hAnsi="Book Antiqua"/>
          <w:color w:val="231F20"/>
          <w:sz w:val="24"/>
          <w:szCs w:val="24"/>
          <w:u w:color="231F20"/>
        </w:rPr>
        <w:t xml:space="preserve">Sukladno članku 4. stavak 1. točka 26. Zakona o gospodarenju otpadom, mjesto primopredaje je lokacija, određena Izjavom o načinu korištenja javne usluge, na kojoj davatelj javne usluge (koncesionar) preuzima otpad od korisnika usluge. </w:t>
      </w:r>
    </w:p>
    <w:p w14:paraId="1B288CA9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color w:val="231F20"/>
          <w:sz w:val="24"/>
          <w:szCs w:val="24"/>
          <w:u w:color="231F20"/>
        </w:rPr>
      </w:pPr>
    </w:p>
    <w:p w14:paraId="7DA8E364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66181">
        <w:rPr>
          <w:rFonts w:ascii="Book Antiqua" w:hAnsi="Book Antiqua"/>
          <w:sz w:val="24"/>
          <w:szCs w:val="24"/>
        </w:rPr>
        <w:t xml:space="preserve">Detaljan opis pojedinačnih usluga definiran je u važećoj Odluci o načinu pružanja javne usluge te </w:t>
      </w:r>
      <w:proofErr w:type="spellStart"/>
      <w:r w:rsidRPr="00966181">
        <w:rPr>
          <w:rFonts w:ascii="Book Antiqua" w:hAnsi="Book Antiqua"/>
          <w:sz w:val="24"/>
          <w:szCs w:val="24"/>
        </w:rPr>
        <w:t>pripadajuć</w:t>
      </w:r>
      <w:proofErr w:type="spellEnd"/>
      <w:r w:rsidRPr="00966181">
        <w:rPr>
          <w:rFonts w:ascii="Book Antiqua" w:hAnsi="Book Antiqua"/>
          <w:sz w:val="24"/>
          <w:szCs w:val="24"/>
          <w:lang w:val="de-DE"/>
        </w:rPr>
        <w:t>im Op</w:t>
      </w:r>
      <w:proofErr w:type="spellStart"/>
      <w:r w:rsidRPr="00966181">
        <w:rPr>
          <w:rFonts w:ascii="Book Antiqua" w:hAnsi="Book Antiqua"/>
          <w:sz w:val="24"/>
          <w:szCs w:val="24"/>
        </w:rPr>
        <w:t>ćim</w:t>
      </w:r>
      <w:proofErr w:type="spellEnd"/>
      <w:r w:rsidRPr="00966181">
        <w:rPr>
          <w:rFonts w:ascii="Book Antiqua" w:hAnsi="Book Antiqua"/>
          <w:sz w:val="24"/>
          <w:szCs w:val="24"/>
        </w:rPr>
        <w:t xml:space="preserve"> uvjetima ugovora o korištenju javne usluge sakupljanja  komunalnog otpada na području Općine Tovarnik, točkama 2.5. i 5.4.  DON (2.5. Tehničke specifikacije; 5.4. Cjenik javne usluge i način određivanja cijene javne usluge) te u Prilogu 2: Cjenik javne usluge.</w:t>
      </w:r>
    </w:p>
    <w:p w14:paraId="532875C7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523B3646" w14:textId="77777777" w:rsidR="00077EC7" w:rsidRPr="00966181" w:rsidRDefault="00077EC7" w:rsidP="00077EC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66181">
        <w:rPr>
          <w:rFonts w:ascii="Book Antiqua" w:hAnsi="Book Antiqua"/>
          <w:sz w:val="24"/>
          <w:szCs w:val="24"/>
        </w:rPr>
        <w:t>Sukladno članku 67. točka 2. Zakona o gospodarenju otpadom te članku 5. stavak 1. Odluke o načinu pružanja javne usluge sakupljanja  komunalnog otpada na području Općine Tovarnik, kriterij obračuna količine otpada kojeg predaje korisnik javne usluge u obračunskom razdoblju je volumen spremnika miješanog komunalnog otpada izražen u litrama i broj pražnjenja spremnika u obračunskom razdoblju.</w:t>
      </w:r>
    </w:p>
    <w:p w14:paraId="449DF33F" w14:textId="77777777" w:rsidR="00077EC7" w:rsidRPr="00966181" w:rsidRDefault="00077EC7" w:rsidP="00077EC7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center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</w:p>
    <w:p w14:paraId="09FBE601" w14:textId="77777777" w:rsidR="00077EC7" w:rsidRPr="00966181" w:rsidRDefault="00077EC7" w:rsidP="00077EC7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  <w:r w:rsidRPr="00966181">
        <w:rPr>
          <w:rFonts w:ascii="Book Antiqua" w:hAnsi="Book Antiqua"/>
          <w:sz w:val="24"/>
          <w:szCs w:val="24"/>
          <w:shd w:val="clear" w:color="auto" w:fill="FFFFFF"/>
        </w:rPr>
        <w:t>Koncesionar je dužan obavljati predmetnu uslugu sukladno dokumentaciji za nadmetanje i ugovoru o koncesiji.</w:t>
      </w:r>
    </w:p>
    <w:p w14:paraId="57607731" w14:textId="77777777" w:rsidR="00077EC7" w:rsidRPr="00966181" w:rsidRDefault="00077EC7" w:rsidP="00077EC7">
      <w:pPr>
        <w:spacing w:after="0" w:line="24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3323ADDB" w14:textId="77777777" w:rsidR="00F84AB5" w:rsidRPr="00966181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7AD17CE7" w14:textId="23440904" w:rsidR="00F84AB5" w:rsidRPr="00966181" w:rsidRDefault="00202EAA" w:rsidP="00F84AB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III.</w:t>
      </w:r>
    </w:p>
    <w:p w14:paraId="51B19BA9" w14:textId="0C7F76E3" w:rsidR="00F84AB5" w:rsidRPr="00966181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02EAA">
        <w:rPr>
          <w:rFonts w:ascii="Book Antiqua" w:hAnsi="Book Antiqua" w:cs="Arial"/>
          <w:b/>
          <w:bCs/>
          <w:sz w:val="24"/>
          <w:szCs w:val="24"/>
        </w:rPr>
        <w:t>Rok</w:t>
      </w:r>
      <w:r w:rsidRPr="00966181">
        <w:rPr>
          <w:rFonts w:ascii="Book Antiqua" w:hAnsi="Book Antiqua" w:cs="Arial"/>
          <w:sz w:val="24"/>
          <w:szCs w:val="24"/>
        </w:rPr>
        <w:t xml:space="preserve"> na koji se daje koncesija: 5 godina </w:t>
      </w:r>
      <w:r w:rsidR="001A3C0C" w:rsidRPr="00966181">
        <w:rPr>
          <w:rFonts w:ascii="Book Antiqua" w:hAnsi="Book Antiqua" w:cs="Arial"/>
          <w:sz w:val="24"/>
          <w:szCs w:val="24"/>
        </w:rPr>
        <w:t xml:space="preserve">od dana stupanja na snagu koncesijskog ugovora </w:t>
      </w:r>
    </w:p>
    <w:p w14:paraId="105F090D" w14:textId="041A935B" w:rsidR="001B4291" w:rsidRPr="00202EAA" w:rsidRDefault="00202EAA" w:rsidP="001B429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202EAA">
        <w:rPr>
          <w:rFonts w:ascii="Book Antiqua" w:hAnsi="Book Antiqua" w:cs="Arial"/>
          <w:b/>
          <w:bCs/>
          <w:sz w:val="24"/>
          <w:szCs w:val="24"/>
        </w:rPr>
        <w:t>I</w:t>
      </w:r>
      <w:r w:rsidR="001B4291" w:rsidRPr="00202EAA">
        <w:rPr>
          <w:rFonts w:ascii="Book Antiqua" w:hAnsi="Book Antiqua" w:cs="Arial"/>
          <w:b/>
          <w:bCs/>
          <w:sz w:val="24"/>
          <w:szCs w:val="24"/>
        </w:rPr>
        <w:t>V.</w:t>
      </w:r>
    </w:p>
    <w:p w14:paraId="0FA67DBB" w14:textId="24CF9006" w:rsidR="001B4291" w:rsidRPr="00966181" w:rsidRDefault="001B4291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966181">
        <w:rPr>
          <w:rFonts w:ascii="Book Antiqua" w:hAnsi="Book Antiqua" w:cs="Arial"/>
          <w:b/>
          <w:bCs/>
          <w:sz w:val="24"/>
          <w:szCs w:val="24"/>
        </w:rPr>
        <w:t xml:space="preserve">Posebni uvjeti </w:t>
      </w:r>
      <w:r w:rsidR="00966181" w:rsidRPr="00966181">
        <w:rPr>
          <w:rFonts w:ascii="Book Antiqua" w:hAnsi="Book Antiqua" w:cs="Arial"/>
          <w:b/>
          <w:bCs/>
          <w:sz w:val="24"/>
          <w:szCs w:val="24"/>
        </w:rPr>
        <w:t xml:space="preserve">kojima tijekom trajanja koncesije mora udovoljavati  pružatelj javne usluge </w:t>
      </w:r>
    </w:p>
    <w:p w14:paraId="49D5017B" w14:textId="77777777" w:rsidR="00966181" w:rsidRPr="00966181" w:rsidRDefault="00966181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2E9B7474" w14:textId="39B63B1C" w:rsidR="00966181" w:rsidRPr="00966181" w:rsidRDefault="00966181" w:rsidP="00966181">
      <w:pPr>
        <w:numPr>
          <w:ilvl w:val="0"/>
          <w:numId w:val="19"/>
        </w:numPr>
        <w:suppressAutoHyphens/>
        <w:spacing w:after="120" w:line="240" w:lineRule="auto"/>
        <w:ind w:left="360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966181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 xml:space="preserve">Koncesionar se obvezuje cijelo vrijeme trajanja ugovora o koncesiji ispunjavati slijedeće uvjete sposobnosti propisane DON u postupku davanja koncesije koji je prethodio </w:t>
      </w:r>
      <w:r w:rsidRPr="00966181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donošenju ove Odluke</w:t>
      </w:r>
      <w:r w:rsidRPr="00966181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:</w:t>
      </w:r>
    </w:p>
    <w:p w14:paraId="1CCF4D8D" w14:textId="77777777" w:rsidR="00966181" w:rsidRPr="00966181" w:rsidRDefault="00966181" w:rsidP="00966181">
      <w:pPr>
        <w:numPr>
          <w:ilvl w:val="0"/>
          <w:numId w:val="20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966181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uvjete pravne i poslovne sposobnosti, odnosno</w:t>
      </w:r>
    </w:p>
    <w:p w14:paraId="57DED1AB" w14:textId="77777777" w:rsidR="00966181" w:rsidRPr="00966181" w:rsidRDefault="00966181" w:rsidP="00966181">
      <w:pPr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966181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upis u odgovarajući registar kako je propisano točkom 4.1.1. DON (4.1.1. Upis u odgovarajući registar),</w:t>
      </w:r>
    </w:p>
    <w:p w14:paraId="1A1E76D9" w14:textId="77777777" w:rsidR="00966181" w:rsidRPr="00966181" w:rsidRDefault="00966181" w:rsidP="00966181">
      <w:pPr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966181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 xml:space="preserve">posjedovati važeće dozvole za sakupljanje otpada kako je propisano točkom 4.1.2. DON (4.1.2. Dozvola za sakupljanje otpada), </w:t>
      </w:r>
    </w:p>
    <w:p w14:paraId="1DC221A0" w14:textId="77777777" w:rsidR="00966181" w:rsidRPr="00966181" w:rsidRDefault="00966181" w:rsidP="00966181">
      <w:pPr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966181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 xml:space="preserve">imati osigurano zakonito odlagalište otpada kako je propisano točkom 4.1.3. DON (4.1.3. Osigurano zakonito odlagalište otpada), </w:t>
      </w:r>
    </w:p>
    <w:p w14:paraId="3B90B2D8" w14:textId="77777777" w:rsidR="00966181" w:rsidRPr="00966181" w:rsidRDefault="00966181" w:rsidP="00966181">
      <w:pPr>
        <w:numPr>
          <w:ilvl w:val="0"/>
          <w:numId w:val="21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966181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biti upisan u Očevidnik prijevoznika otpada kako je propisano točkom 4.1.4. DON (4.1.4. Upis u Očevidnik prijevoznika otpada),</w:t>
      </w:r>
    </w:p>
    <w:p w14:paraId="3929D964" w14:textId="77777777" w:rsidR="00966181" w:rsidRPr="00966181" w:rsidRDefault="00966181" w:rsidP="00966181">
      <w:pPr>
        <w:numPr>
          <w:ilvl w:val="0"/>
          <w:numId w:val="20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966181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uvjete minimalne tehničke sposobnosti kako je propisano točkom 4.3.2. DON (4.3.2. Minimalna razina tehničke sposobnosti ponuditelja).</w:t>
      </w:r>
    </w:p>
    <w:p w14:paraId="1585B1C4" w14:textId="1F066C7A" w:rsidR="00966181" w:rsidRPr="00966181" w:rsidRDefault="00966181" w:rsidP="00966181">
      <w:pPr>
        <w:numPr>
          <w:ilvl w:val="0"/>
          <w:numId w:val="19"/>
        </w:numPr>
        <w:suppressAutoHyphens/>
        <w:spacing w:after="120" w:line="240" w:lineRule="auto"/>
        <w:ind w:left="360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966181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Koncesionar odnosno davatelj usluge obvezuje se javnu uslugu koja predmet ove koncesije izvršavati trajno i kvalitetno u potpunosti se pridržavajući odredbi Zakona o gospodarenju otpadom, Odluke o načinu pružanja javne usluge i pripadajućih Općih uvjeta o korištenju javne usluge sakupljanja  komunalnog otpada na području Općine Tovarnik, a sukladno odabranoj ponudi.</w:t>
      </w:r>
    </w:p>
    <w:p w14:paraId="6C9881BC" w14:textId="77777777" w:rsidR="00966181" w:rsidRPr="00966181" w:rsidRDefault="00966181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eastAsia="hr-HR"/>
        </w:rPr>
      </w:pPr>
    </w:p>
    <w:p w14:paraId="25AD720C" w14:textId="0A93C6AE" w:rsidR="00F84AB5" w:rsidRPr="00966181" w:rsidRDefault="00F84AB5" w:rsidP="00F84AB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eastAsia="hr-HR"/>
        </w:rPr>
      </w:pPr>
      <w:r w:rsidRPr="00966181">
        <w:rPr>
          <w:rFonts w:ascii="Book Antiqua" w:hAnsi="Book Antiqua" w:cs="Arial"/>
          <w:b/>
          <w:sz w:val="24"/>
          <w:szCs w:val="24"/>
          <w:lang w:eastAsia="hr-HR"/>
        </w:rPr>
        <w:t>V</w:t>
      </w:r>
      <w:r w:rsidR="00202EAA">
        <w:rPr>
          <w:rFonts w:ascii="Book Antiqua" w:hAnsi="Book Antiqua" w:cs="Arial"/>
          <w:b/>
          <w:sz w:val="24"/>
          <w:szCs w:val="24"/>
          <w:lang w:eastAsia="hr-HR"/>
        </w:rPr>
        <w:t>.</w:t>
      </w:r>
    </w:p>
    <w:p w14:paraId="3D3FB9BC" w14:textId="77777777" w:rsidR="001A6928" w:rsidRPr="00966181" w:rsidRDefault="001A6928" w:rsidP="001A6928">
      <w:pPr>
        <w:suppressAutoHyphens/>
        <w:autoSpaceDE w:val="0"/>
        <w:autoSpaceDN w:val="0"/>
        <w:adjustRightInd w:val="0"/>
        <w:spacing w:after="120" w:line="120" w:lineRule="atLeast"/>
        <w:jc w:val="center"/>
        <w:rPr>
          <w:rFonts w:ascii="Book Antiqua" w:eastAsia="Times New Roman" w:hAnsi="Book Antiqua" w:cs="Calibri Light"/>
          <w:b/>
          <w:sz w:val="24"/>
          <w:szCs w:val="24"/>
          <w:lang w:eastAsia="zh-CN"/>
        </w:rPr>
      </w:pPr>
    </w:p>
    <w:p w14:paraId="40117644" w14:textId="77C19D77" w:rsidR="001A6928" w:rsidRPr="00966181" w:rsidRDefault="001A6928" w:rsidP="001A6928">
      <w:pPr>
        <w:suppressAutoHyphens/>
        <w:autoSpaceDE w:val="0"/>
        <w:autoSpaceDN w:val="0"/>
        <w:adjustRightInd w:val="0"/>
        <w:spacing w:after="120" w:line="120" w:lineRule="atLeast"/>
        <w:rPr>
          <w:rFonts w:ascii="Book Antiqua" w:eastAsia="Times New Roman" w:hAnsi="Book Antiqua" w:cs="Calibri Light"/>
          <w:b/>
          <w:bCs/>
          <w:sz w:val="24"/>
          <w:szCs w:val="24"/>
          <w:lang w:eastAsia="hr-HR"/>
        </w:rPr>
      </w:pPr>
      <w:r w:rsidRPr="00966181">
        <w:rPr>
          <w:rFonts w:ascii="Book Antiqua" w:eastAsia="Times New Roman" w:hAnsi="Book Antiqua" w:cs="Calibri Light"/>
          <w:b/>
          <w:bCs/>
          <w:sz w:val="24"/>
          <w:szCs w:val="24"/>
          <w:lang w:eastAsia="hr-HR"/>
        </w:rPr>
        <w:t xml:space="preserve">Osnovana prava i obveze koncesionara </w:t>
      </w:r>
    </w:p>
    <w:p w14:paraId="6828A718" w14:textId="77777777" w:rsidR="001A6928" w:rsidRPr="00966181" w:rsidRDefault="001A6928" w:rsidP="001A6928">
      <w:pPr>
        <w:suppressAutoHyphens/>
        <w:autoSpaceDE w:val="0"/>
        <w:autoSpaceDN w:val="0"/>
        <w:adjustRightInd w:val="0"/>
        <w:spacing w:after="120" w:line="120" w:lineRule="atLeast"/>
        <w:jc w:val="center"/>
        <w:rPr>
          <w:rFonts w:ascii="Book Antiqua" w:eastAsia="Times New Roman" w:hAnsi="Book Antiqua" w:cs="Calibri Light"/>
          <w:sz w:val="24"/>
          <w:szCs w:val="24"/>
          <w:lang w:eastAsia="hr-HR"/>
        </w:rPr>
      </w:pPr>
    </w:p>
    <w:p w14:paraId="67586DE2" w14:textId="0292D72B" w:rsidR="001A6928" w:rsidRPr="00966181" w:rsidRDefault="001A6928" w:rsidP="001B4291">
      <w:pPr>
        <w:pStyle w:val="box455020"/>
        <w:spacing w:before="0" w:beforeAutospacing="0" w:after="120" w:afterAutospacing="0"/>
        <w:jc w:val="both"/>
        <w:textAlignment w:val="baseline"/>
        <w:rPr>
          <w:rFonts w:ascii="Book Antiqua" w:hAnsi="Book Antiqua" w:cs="Calibri Light"/>
          <w:color w:val="231F20"/>
        </w:rPr>
      </w:pPr>
      <w:r w:rsidRPr="00966181">
        <w:rPr>
          <w:rFonts w:ascii="Book Antiqua" w:hAnsi="Book Antiqua" w:cs="Calibri Light"/>
        </w:rPr>
        <w:t xml:space="preserve">Koncesijom iz </w:t>
      </w:r>
      <w:r w:rsidRPr="00966181">
        <w:rPr>
          <w:rFonts w:ascii="Book Antiqua" w:hAnsi="Book Antiqua" w:cs="Calibri Light"/>
        </w:rPr>
        <w:t xml:space="preserve">točke </w:t>
      </w:r>
      <w:r w:rsidR="001B4291" w:rsidRPr="00966181">
        <w:rPr>
          <w:rFonts w:ascii="Book Antiqua" w:hAnsi="Book Antiqua" w:cs="Calibri Light"/>
        </w:rPr>
        <w:t>I</w:t>
      </w:r>
      <w:r w:rsidRPr="00966181">
        <w:rPr>
          <w:rFonts w:ascii="Book Antiqua" w:hAnsi="Book Antiqua" w:cs="Calibri Light"/>
        </w:rPr>
        <w:t xml:space="preserve">I. ove Odluke </w:t>
      </w:r>
      <w:r w:rsidRPr="00966181">
        <w:rPr>
          <w:rFonts w:ascii="Book Antiqua" w:hAnsi="Book Antiqua" w:cs="Calibri Light"/>
        </w:rPr>
        <w:t xml:space="preserve">koncesionar stječe pravo i preuzima obvezu davatelja javne usluge, odnosno stječe pravo i preuzima obvezu prikupljanja miješanog komunalnog otpada te odvojenog sakupljanja biootpada i </w:t>
      </w:r>
      <w:proofErr w:type="spellStart"/>
      <w:r w:rsidRPr="00966181">
        <w:rPr>
          <w:rFonts w:ascii="Book Antiqua" w:hAnsi="Book Antiqua" w:cs="Calibri Light"/>
        </w:rPr>
        <w:t>reciklabilnog</w:t>
      </w:r>
      <w:proofErr w:type="spellEnd"/>
      <w:r w:rsidRPr="00966181">
        <w:rPr>
          <w:rFonts w:ascii="Book Antiqua" w:hAnsi="Book Antiqua" w:cs="Calibri Light"/>
        </w:rPr>
        <w:t xml:space="preserve"> komunalnog otpada te glomaznog otpada, kao i </w:t>
      </w:r>
      <w:r w:rsidRPr="00966181">
        <w:rPr>
          <w:rFonts w:ascii="Book Antiqua" w:eastAsia="Calibri" w:hAnsi="Book Antiqua" w:cs="Calibri Light"/>
          <w:color w:val="231F20"/>
          <w:lang w:eastAsia="en-US"/>
        </w:rPr>
        <w:t xml:space="preserve">preuzimanja otpada u </w:t>
      </w:r>
      <w:proofErr w:type="spellStart"/>
      <w:r w:rsidRPr="00966181">
        <w:rPr>
          <w:rFonts w:ascii="Book Antiqua" w:eastAsia="Calibri" w:hAnsi="Book Antiqua" w:cs="Calibri Light"/>
          <w:color w:val="231F20"/>
          <w:lang w:eastAsia="en-US"/>
        </w:rPr>
        <w:t>reciklažnom</w:t>
      </w:r>
      <w:proofErr w:type="spellEnd"/>
      <w:r w:rsidRPr="00966181">
        <w:rPr>
          <w:rFonts w:ascii="Book Antiqua" w:eastAsia="Calibri" w:hAnsi="Book Antiqua" w:cs="Calibri Light"/>
          <w:color w:val="231F20"/>
          <w:lang w:eastAsia="en-US"/>
        </w:rPr>
        <w:t xml:space="preserve"> dvorištu odnosno mobilnom </w:t>
      </w:r>
      <w:proofErr w:type="spellStart"/>
      <w:r w:rsidRPr="00966181">
        <w:rPr>
          <w:rFonts w:ascii="Book Antiqua" w:eastAsia="Calibri" w:hAnsi="Book Antiqua" w:cs="Calibri Light"/>
          <w:color w:val="231F20"/>
          <w:lang w:eastAsia="en-US"/>
        </w:rPr>
        <w:t>reciklažnom</w:t>
      </w:r>
      <w:proofErr w:type="spellEnd"/>
      <w:r w:rsidRPr="00966181">
        <w:rPr>
          <w:rFonts w:ascii="Book Antiqua" w:eastAsia="Calibri" w:hAnsi="Book Antiqua" w:cs="Calibri Light"/>
          <w:color w:val="231F20"/>
          <w:lang w:eastAsia="en-US"/>
        </w:rPr>
        <w:t xml:space="preserve"> dvorištu i prijevoza i predaje otpada ovlaštenoj osobi. </w:t>
      </w:r>
    </w:p>
    <w:p w14:paraId="76DBBFC2" w14:textId="5F5CF713" w:rsidR="001A6928" w:rsidRPr="00966181" w:rsidRDefault="001A6928" w:rsidP="001B4291">
      <w:pPr>
        <w:pStyle w:val="box455020"/>
        <w:spacing w:before="0" w:beforeAutospacing="0" w:after="120" w:afterAutospacing="0"/>
        <w:jc w:val="both"/>
        <w:textAlignment w:val="baseline"/>
        <w:rPr>
          <w:rFonts w:ascii="Book Antiqua" w:hAnsi="Book Antiqua" w:cs="Calibri Light"/>
          <w:color w:val="231F20"/>
        </w:rPr>
      </w:pPr>
      <w:r w:rsidRPr="00966181">
        <w:rPr>
          <w:rFonts w:ascii="Book Antiqua" w:hAnsi="Book Antiqua" w:cs="Calibri Light"/>
          <w:color w:val="231F20"/>
        </w:rPr>
        <w:t xml:space="preserve">Koncesionar se obvezuje u potpunosti uskladiti sa Zakonom o gospodarenju otpadom te pripadajućim podzakonskim propisima i aktima. Ukoliko se dio javne usluge koja je predmet ove koncesije daje u podugovor, ova odredba se odnosi i na </w:t>
      </w:r>
      <w:proofErr w:type="spellStart"/>
      <w:r w:rsidRPr="00966181">
        <w:rPr>
          <w:rFonts w:ascii="Book Antiqua" w:hAnsi="Book Antiqua" w:cs="Calibri Light"/>
          <w:color w:val="231F20"/>
        </w:rPr>
        <w:t>podugovaratelja</w:t>
      </w:r>
      <w:proofErr w:type="spellEnd"/>
      <w:r w:rsidRPr="00966181">
        <w:rPr>
          <w:rFonts w:ascii="Book Antiqua" w:hAnsi="Book Antiqua" w:cs="Calibri Light"/>
          <w:color w:val="231F20"/>
        </w:rPr>
        <w:t xml:space="preserve">, a koncesionar se obvezuje osigurati da </w:t>
      </w:r>
      <w:proofErr w:type="spellStart"/>
      <w:r w:rsidRPr="00966181">
        <w:rPr>
          <w:rFonts w:ascii="Book Antiqua" w:hAnsi="Book Antiqua" w:cs="Calibri Light"/>
          <w:color w:val="231F20"/>
        </w:rPr>
        <w:t>podugovaratelj</w:t>
      </w:r>
      <w:proofErr w:type="spellEnd"/>
      <w:r w:rsidRPr="00966181">
        <w:rPr>
          <w:rFonts w:ascii="Book Antiqua" w:hAnsi="Book Antiqua" w:cs="Calibri Light"/>
          <w:color w:val="231F20"/>
        </w:rPr>
        <w:t xml:space="preserve"> istu i ispuni.</w:t>
      </w:r>
    </w:p>
    <w:p w14:paraId="60E46B63" w14:textId="7B6899A8" w:rsidR="001A6928" w:rsidRPr="001A6928" w:rsidRDefault="001A6928" w:rsidP="001A6928">
      <w:pPr>
        <w:suppressAutoHyphens/>
        <w:autoSpaceDE w:val="0"/>
        <w:autoSpaceDN w:val="0"/>
        <w:adjustRightInd w:val="0"/>
        <w:spacing w:after="120" w:line="120" w:lineRule="atLeast"/>
        <w:jc w:val="center"/>
        <w:rPr>
          <w:rFonts w:ascii="Book Antiqua" w:eastAsia="Times New Roman" w:hAnsi="Book Antiqua" w:cs="Calibri Light"/>
          <w:b/>
          <w:sz w:val="24"/>
          <w:szCs w:val="24"/>
          <w:lang w:eastAsia="zh-CN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 xml:space="preserve">Koncesionar te kada je primjenjivo i </w:t>
      </w:r>
      <w:proofErr w:type="spellStart"/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podugovaratelj</w:t>
      </w:r>
      <w:proofErr w:type="spellEnd"/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, odnosno davatelj usluge obvezuje se:</w:t>
      </w:r>
    </w:p>
    <w:p w14:paraId="35F8A4FC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gospodariti s odvojeno sakupljenim komunalnim otpadom, uključujući preuzimanje i prijevoz tog otpada, sukladno redu prvenstva gospodarenja otpadom i način na koji ne dovodi do miješanja odvojeno sakupljenog komunalnog otpada s drugom vrstom otpada ili otpadom koji ima drukčija svojstva,</w:t>
      </w:r>
    </w:p>
    <w:p w14:paraId="1EDE203B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pružati javnu uslugu u skladu sa Zakonom i ovom Odlukom te drugim propisima koji reguliraju gospodarenje otpadom,</w:t>
      </w:r>
    </w:p>
    <w:p w14:paraId="4A873241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 xml:space="preserve">snositi sve troškove gospodarenja prikupljenim otpadom, osim troškova postupanja s </w:t>
      </w:r>
      <w:proofErr w:type="spellStart"/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reciklabilnim</w:t>
      </w:r>
      <w:proofErr w:type="spellEnd"/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 xml:space="preserve"> komunalnim otpadom koji se sastoji pretežito od otpadne ambalaže,</w:t>
      </w:r>
    </w:p>
    <w:p w14:paraId="3F9FB1A5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lastRenderedPageBreak/>
        <w:t>osigurati korisniku javne usluge spremnike za primopredaju komunalnog otpada i omogućiti odvoz glomaznog komunalnog otpada s adrese obračunskog mjesta korisnika jednom godišnje bez naknade,</w:t>
      </w:r>
    </w:p>
    <w:p w14:paraId="6C6ECC19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odgovarati za sigurnost, redovitost i kvalitetu pružanja javne usluge,</w:t>
      </w:r>
    </w:p>
    <w:p w14:paraId="7198CE05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označiti spremnike za primopredaju komunalnog otpada te na spremniku održavati natpis otpada sukladno članku 69. stavak 2. Zakona,</w:t>
      </w:r>
    </w:p>
    <w:p w14:paraId="0E24883C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 xml:space="preserve">preuzimati redovito, u skladu s rasporedom odvoza davatelja javne usluge, preuzeti sadržaj spremnika od korisnika usluge i to odvojeno miješani komunalni otpad, biootpad, </w:t>
      </w:r>
      <w:proofErr w:type="spellStart"/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reciklabilni</w:t>
      </w:r>
      <w:proofErr w:type="spellEnd"/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 xml:space="preserve"> komunalni otpad i glomazni otpad,</w:t>
      </w:r>
    </w:p>
    <w:p w14:paraId="2A8B275C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osigurati provjeru da otpad sadržan u spremniku prilikom primopredaje odgovara vrsti otpada čija se primopredaja obavlja,</w:t>
      </w:r>
    </w:p>
    <w:p w14:paraId="3771CBCA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osigurati uvjete kojima se ostvaruje pojedinačno korištenje javne usluge, neovisno o broju korisnika koji koriste zajednički spremnik,</w:t>
      </w:r>
    </w:p>
    <w:p w14:paraId="23A3D648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 xml:space="preserve">predati sakupljeni </w:t>
      </w:r>
      <w:proofErr w:type="spellStart"/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reciklabilni</w:t>
      </w:r>
      <w:proofErr w:type="spellEnd"/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 xml:space="preserve"> otpad osobi koju odredi Fond,</w:t>
      </w:r>
    </w:p>
    <w:p w14:paraId="5F605016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predati miješani komunalni otpad u centar za gospodarenje otpadom sukladno Planu gospodarenja otpadom Republike Hrvatske,</w:t>
      </w:r>
    </w:p>
    <w:p w14:paraId="0CED4439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izraditi i objaviti u elektroničkom obliku obavijest o sakupljanju komunalnog otpada za područje Općine Tovarnik za sljedeću godinu i do 31. 12. tekuće godine dostaviti ju korisniku javne usluge u tiskanom obliku, na adresu obračunskog mjesta,</w:t>
      </w:r>
    </w:p>
    <w:p w14:paraId="055EE539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voditi evidenciju o preuzetoj količini komunalnog otpada od pojedinog korisnika usluge u obračunskom razdoblju prema kriteriju količine otpada iz članka 5. Odluke,</w:t>
      </w:r>
      <w:r w:rsidRPr="001A6928">
        <w:rPr>
          <w:rFonts w:ascii="Book Antiqua" w:eastAsia="Times New Roman" w:hAnsi="Book Antiqua" w:cs="Calibri Light"/>
          <w:color w:val="FF0000"/>
          <w:sz w:val="24"/>
          <w:szCs w:val="24"/>
          <w:lang w:eastAsia="hr-HR"/>
        </w:rPr>
        <w:t xml:space="preserve"> </w:t>
      </w: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u digitalnom obliku (u daljnjem tekstu: evidencija) sukladno članku 82. Zakona; sastavni dio evidencije je Izjava korisnika i dokazi o izvršenoj javnoj usluzi; podatci iz evidencije moraju biti dostupni na uvid korisniku usluge na njegov zahtjev,</w:t>
      </w:r>
    </w:p>
    <w:p w14:paraId="248C7D1F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izraditi Cjenik javne usluge i objaviti ga na mrežnoj stranici te</w:t>
      </w:r>
    </w:p>
    <w:p w14:paraId="3CA8D7B1" w14:textId="77777777" w:rsidR="001A6928" w:rsidRPr="001A6928" w:rsidRDefault="001A6928" w:rsidP="001A6928">
      <w:pPr>
        <w:numPr>
          <w:ilvl w:val="0"/>
          <w:numId w:val="16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sz w:val="24"/>
          <w:szCs w:val="24"/>
          <w:lang w:eastAsia="hr-HR"/>
        </w:rPr>
        <w:t>obračunati cijenu javne usluge na način propisan Zakonom, ovom Odlukom i Cjenikom; na računu za javnu uslugu navesti sve elemente temeljem kojih je izvršio obračun cijene javne usluge, uključivo i porez na dodanu vrijednost određen sukladno posebnom propisu kojim se utvrđuje porez na dodanu vrijednost.</w:t>
      </w:r>
    </w:p>
    <w:p w14:paraId="34677B71" w14:textId="77777777" w:rsidR="001A6928" w:rsidRPr="001A6928" w:rsidRDefault="001A6928" w:rsidP="001A6928">
      <w:pPr>
        <w:spacing w:after="120" w:line="240" w:lineRule="auto"/>
        <w:rPr>
          <w:rFonts w:ascii="Book Antiqua" w:eastAsia="Times New Roman" w:hAnsi="Book Antiqua" w:cs="Calibri Light"/>
          <w:color w:val="414145"/>
          <w:sz w:val="24"/>
          <w:szCs w:val="24"/>
          <w:lang w:eastAsia="hr-HR"/>
        </w:rPr>
      </w:pPr>
    </w:p>
    <w:p w14:paraId="6CA73297" w14:textId="77777777" w:rsidR="001A6928" w:rsidRPr="001A6928" w:rsidRDefault="001A6928" w:rsidP="001A6928">
      <w:pPr>
        <w:spacing w:after="120" w:line="240" w:lineRule="auto"/>
        <w:rPr>
          <w:rFonts w:ascii="Book Antiqua" w:eastAsia="Times New Roman" w:hAnsi="Book Antiqua" w:cs="Calibri Light"/>
          <w:color w:val="414145"/>
          <w:sz w:val="24"/>
          <w:szCs w:val="24"/>
          <w:lang w:eastAsia="hr-HR"/>
        </w:rPr>
      </w:pPr>
    </w:p>
    <w:p w14:paraId="654CB8A0" w14:textId="6CEE5DC5" w:rsidR="001A6928" w:rsidRPr="001A6928" w:rsidRDefault="001A6928" w:rsidP="001A6928">
      <w:pPr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b/>
          <w:bCs/>
          <w:color w:val="231F20"/>
          <w:sz w:val="24"/>
          <w:szCs w:val="24"/>
          <w:lang w:eastAsia="hr-HR"/>
        </w:rPr>
      </w:pPr>
      <w:r w:rsidRPr="00966181">
        <w:rPr>
          <w:rFonts w:ascii="Book Antiqua" w:eastAsia="Times New Roman" w:hAnsi="Book Antiqua" w:cs="Calibri Light"/>
          <w:b/>
          <w:bCs/>
          <w:color w:val="231F20"/>
          <w:sz w:val="24"/>
          <w:szCs w:val="24"/>
          <w:lang w:eastAsia="hr-HR"/>
        </w:rPr>
        <w:t>Osnovna prava i obveze davatelja koncesije</w:t>
      </w:r>
    </w:p>
    <w:p w14:paraId="4B53B003" w14:textId="329F5F8A" w:rsidR="001A6928" w:rsidRPr="001A6928" w:rsidRDefault="001A6928" w:rsidP="001A6928">
      <w:pPr>
        <w:suppressAutoHyphens/>
        <w:autoSpaceDE w:val="0"/>
        <w:autoSpaceDN w:val="0"/>
        <w:adjustRightInd w:val="0"/>
        <w:spacing w:after="120" w:line="120" w:lineRule="atLeast"/>
        <w:jc w:val="center"/>
        <w:rPr>
          <w:rFonts w:ascii="Book Antiqua" w:eastAsia="Times New Roman" w:hAnsi="Book Antiqua" w:cs="Calibri Light"/>
          <w:b/>
          <w:sz w:val="24"/>
          <w:szCs w:val="24"/>
          <w:lang w:eastAsia="zh-CN"/>
        </w:rPr>
      </w:pPr>
    </w:p>
    <w:p w14:paraId="64942D6B" w14:textId="77777777" w:rsidR="001A6928" w:rsidRPr="001A6928" w:rsidRDefault="001A6928" w:rsidP="001A6928">
      <w:pPr>
        <w:numPr>
          <w:ilvl w:val="0"/>
          <w:numId w:val="17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Obveze davatelja koncesije definirane su člancima 75.-79. Zakona o koncesijama te odredbama Zakona o gospodarenju otpadom.</w:t>
      </w:r>
    </w:p>
    <w:p w14:paraId="239F42E8" w14:textId="77777777" w:rsidR="001A6928" w:rsidRPr="001A6928" w:rsidRDefault="001A6928" w:rsidP="001A6928">
      <w:pPr>
        <w:numPr>
          <w:ilvl w:val="0"/>
          <w:numId w:val="17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Davatelj koncesije obvezuje se koncesionaru ustupiti popis korisnika usluge iz članka 2. stavak 1. točka 10. ovog ugovora o koncesiji.</w:t>
      </w:r>
    </w:p>
    <w:p w14:paraId="2FD67A60" w14:textId="77777777" w:rsidR="001A6928" w:rsidRPr="001A6928" w:rsidRDefault="001A6928" w:rsidP="001A6928">
      <w:pPr>
        <w:numPr>
          <w:ilvl w:val="0"/>
          <w:numId w:val="17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Općina Tovarnik i davatelj javne usluge obvezuju se na svojim mrežnim stranicama objaviti i ažurno održavati informacije o:</w:t>
      </w:r>
    </w:p>
    <w:p w14:paraId="52218246" w14:textId="77777777" w:rsidR="001A6928" w:rsidRPr="001A6928" w:rsidRDefault="001A6928" w:rsidP="001A6928">
      <w:pPr>
        <w:numPr>
          <w:ilvl w:val="0"/>
          <w:numId w:val="18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 xml:space="preserve">lokacijama mobilnog/ih i </w:t>
      </w:r>
      <w:proofErr w:type="spellStart"/>
      <w:r w:rsidRPr="001A6928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reciklažnog</w:t>
      </w:r>
      <w:proofErr w:type="spellEnd"/>
      <w:r w:rsidRPr="001A6928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/ih dvorište po naseljima i</w:t>
      </w:r>
    </w:p>
    <w:p w14:paraId="6A8FA99E" w14:textId="77777777" w:rsidR="001A6928" w:rsidRPr="001A6928" w:rsidRDefault="001A6928" w:rsidP="001A6928">
      <w:pPr>
        <w:numPr>
          <w:ilvl w:val="0"/>
          <w:numId w:val="18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lokacijama spremnika za odvojeno sakupljanje komunalnog otpada postavljenih na javnoj površini.</w:t>
      </w:r>
    </w:p>
    <w:p w14:paraId="246B0BB6" w14:textId="77777777" w:rsidR="001A6928" w:rsidRPr="001A6928" w:rsidRDefault="001A6928" w:rsidP="001A6928">
      <w:pPr>
        <w:numPr>
          <w:ilvl w:val="0"/>
          <w:numId w:val="17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Općina Tovarnik obvezuje se o svom trošku, na odgovarajući način osigurati godišnju provedbu informativnih aktivnosti u svezi gospodarenja otpadom na svom području, a na način kako je propisano Odlukom o načinu pružanja javne usluge, a sukladno Zakonu o gospodarenju otpadom.</w:t>
      </w:r>
    </w:p>
    <w:p w14:paraId="39ACFB84" w14:textId="77777777" w:rsidR="001A6928" w:rsidRPr="001A6928" w:rsidRDefault="001A6928" w:rsidP="001A6928">
      <w:pPr>
        <w:numPr>
          <w:ilvl w:val="0"/>
          <w:numId w:val="17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lastRenderedPageBreak/>
        <w:t>Općina Tovarnik obvezuje se preuzeti obvezu plaćanja cijene javne usluge za pojedine korisnike kako je to propisano Odlukom o načinu pružanja javne usluge. Sukladno članku 66. stavak 5. Zakon o gospodarenju otpadom, izvršno tijelo jedinice lokalne samouprave dužno je voditi popis korisnika usluge u čije ime je preuzelo obvezu sufinanciranja cijene javne usluge iz stavka 2. točke 1. navedenog članka predmetnog Zakona, koji sadrži sljedeće podatke: o korisniku usluge, obračunskom mjestu, obračunskom razdoblju, iznosu sufinanciranja cijene javne usluge koji je jedinica lokalne samouprave platila davatelju javne usluge.</w:t>
      </w:r>
    </w:p>
    <w:p w14:paraId="3C39CBD9" w14:textId="77777777" w:rsidR="001A6928" w:rsidRPr="001A6928" w:rsidRDefault="001A6928" w:rsidP="001A6928">
      <w:pPr>
        <w:numPr>
          <w:ilvl w:val="0"/>
          <w:numId w:val="17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 xml:space="preserve">Davatelj koncesije ima pravo i obvezu kontinuirano pratiti provedbu ugovora o koncesiji te nadzirati rad koncesionara i ukoliko je primjenjivo </w:t>
      </w:r>
      <w:proofErr w:type="spellStart"/>
      <w:r w:rsidRPr="001A6928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podugovaratelja</w:t>
      </w:r>
      <w:proofErr w:type="spellEnd"/>
      <w:r w:rsidRPr="001A6928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 xml:space="preserve">, kao i izvršavanje njihovih obveza iz ugovora o koncesiji, a što uključuje i redovito praćenje izvršavanja plaćanja naknade za koncesiju. </w:t>
      </w:r>
    </w:p>
    <w:p w14:paraId="104E15F5" w14:textId="77777777" w:rsidR="001A6928" w:rsidRPr="001A6928" w:rsidRDefault="001A6928" w:rsidP="001A6928">
      <w:pPr>
        <w:numPr>
          <w:ilvl w:val="0"/>
          <w:numId w:val="17"/>
        </w:numPr>
        <w:suppressAutoHyphens/>
        <w:spacing w:after="120" w:line="240" w:lineRule="auto"/>
        <w:jc w:val="both"/>
        <w:textAlignment w:val="baseline"/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</w:pPr>
      <w:r w:rsidRPr="001A6928">
        <w:rPr>
          <w:rFonts w:ascii="Book Antiqua" w:eastAsia="Times New Roman" w:hAnsi="Book Antiqua" w:cs="Calibri Light"/>
          <w:color w:val="231F20"/>
          <w:sz w:val="24"/>
          <w:szCs w:val="24"/>
          <w:lang w:eastAsia="hr-HR"/>
        </w:rPr>
        <w:t>Davatelj koncesije će praćenje provedbe ugovora o koncesiji provoditi sukladno odredbama iz članka 80. Zakona o koncesijama te odredbama Zakona o gospodarenju otpadom i Odluke o načinu pružanja javne usluge.</w:t>
      </w:r>
    </w:p>
    <w:p w14:paraId="6EFF9DB8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/>
          <w:color w:val="FF0000"/>
          <w:sz w:val="24"/>
          <w:szCs w:val="24"/>
        </w:rPr>
      </w:pPr>
    </w:p>
    <w:p w14:paraId="5F529959" w14:textId="2720F180" w:rsidR="00F84AB5" w:rsidRPr="00966181" w:rsidRDefault="00F84AB5" w:rsidP="00F84AB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66181">
        <w:rPr>
          <w:rFonts w:ascii="Book Antiqua" w:hAnsi="Book Antiqua"/>
          <w:b/>
          <w:sz w:val="24"/>
          <w:szCs w:val="24"/>
        </w:rPr>
        <w:t>VI</w:t>
      </w:r>
      <w:r w:rsidR="00202EAA">
        <w:rPr>
          <w:rFonts w:ascii="Book Antiqua" w:hAnsi="Book Antiqua"/>
          <w:b/>
          <w:sz w:val="24"/>
          <w:szCs w:val="24"/>
        </w:rPr>
        <w:t>.</w:t>
      </w:r>
    </w:p>
    <w:p w14:paraId="12938F18" w14:textId="77777777" w:rsidR="001A3C0C" w:rsidRPr="00966181" w:rsidRDefault="001A3C0C" w:rsidP="001A3C0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66181">
        <w:rPr>
          <w:rFonts w:ascii="Book Antiqua" w:hAnsi="Book Antiqua"/>
          <w:sz w:val="24"/>
          <w:szCs w:val="24"/>
        </w:rPr>
        <w:t xml:space="preserve">Godišnja naknada za koncesiju iznosi 7,50% godišnje </w:t>
      </w:r>
      <w:bookmarkStart w:id="1" w:name="_Hlk97818266"/>
      <w:r w:rsidRPr="00966181">
        <w:rPr>
          <w:rFonts w:ascii="Book Antiqua" w:hAnsi="Book Antiqua"/>
          <w:sz w:val="24"/>
          <w:szCs w:val="24"/>
        </w:rPr>
        <w:t>od naplaćenih neto prihoda godišnje za pruženu javnu uslugu sakupljanja komunalnog otpada na području Općine Tovarnik</w:t>
      </w:r>
      <w:bookmarkEnd w:id="1"/>
      <w:r w:rsidRPr="00966181">
        <w:rPr>
          <w:rFonts w:ascii="Book Antiqua" w:hAnsi="Book Antiqua"/>
          <w:sz w:val="24"/>
          <w:szCs w:val="24"/>
        </w:rPr>
        <w:t>.</w:t>
      </w:r>
    </w:p>
    <w:p w14:paraId="41E534A1" w14:textId="77777777" w:rsidR="001A3C0C" w:rsidRPr="00966181" w:rsidRDefault="001A3C0C" w:rsidP="001A3C0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1120E513" w14:textId="77777777" w:rsidR="001A3C0C" w:rsidRPr="00966181" w:rsidRDefault="001A3C0C" w:rsidP="001A3C0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eastAsia="Times New Roman" w:hAnsi="Book Antiqua" w:cs="Times New Roman"/>
          <w:sz w:val="24"/>
          <w:szCs w:val="24"/>
        </w:rPr>
      </w:pPr>
      <w:bookmarkStart w:id="2" w:name="_Hlk95477793"/>
      <w:r w:rsidRPr="00966181">
        <w:rPr>
          <w:rFonts w:ascii="Book Antiqua" w:hAnsi="Book Antiqua"/>
          <w:sz w:val="24"/>
          <w:szCs w:val="24"/>
        </w:rPr>
        <w:t>Naknada za koncesiju će se naplaćivati jednom godišnje, najkasnije do 31. siječnja tekuće godine za prethodnu godinu pri čemu je koncesionar u obvezi dostaviti i podatke o naplaćenim prihodima. Svaki slijedeći obrok naplaćuje se po istim uvjetima, a sve do isteka Ugovora o koncesiji.</w:t>
      </w:r>
      <w:bookmarkEnd w:id="2"/>
    </w:p>
    <w:p w14:paraId="6BC24F27" w14:textId="77777777" w:rsidR="00F84AB5" w:rsidRPr="00966181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8637EA3" w14:textId="35DD701A" w:rsidR="00F84AB5" w:rsidRPr="00966181" w:rsidRDefault="00F84AB5" w:rsidP="00F84AB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966181">
        <w:rPr>
          <w:rFonts w:ascii="Book Antiqua" w:hAnsi="Book Antiqua" w:cs="Arial"/>
          <w:b/>
          <w:sz w:val="24"/>
          <w:szCs w:val="24"/>
        </w:rPr>
        <w:t>VI</w:t>
      </w:r>
      <w:r w:rsidR="00202EAA">
        <w:rPr>
          <w:rFonts w:ascii="Book Antiqua" w:hAnsi="Book Antiqua" w:cs="Arial"/>
          <w:b/>
          <w:sz w:val="24"/>
          <w:szCs w:val="24"/>
        </w:rPr>
        <w:t>I.</w:t>
      </w:r>
    </w:p>
    <w:p w14:paraId="25171AC8" w14:textId="77777777" w:rsidR="004913D5" w:rsidRPr="00966181" w:rsidRDefault="004913D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61024098" w14:textId="77777777" w:rsidR="004913D5" w:rsidRPr="00966181" w:rsidRDefault="004913D5" w:rsidP="004913D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  <w:r w:rsidRPr="00966181">
        <w:rPr>
          <w:rFonts w:ascii="Book Antiqua" w:hAnsi="Book Antiqua"/>
          <w:sz w:val="24"/>
          <w:szCs w:val="24"/>
          <w:shd w:val="clear" w:color="auto" w:fill="FFFFFF"/>
        </w:rPr>
        <w:t>Odluka o davanju koncesije se bez odgode, zajedno s preslikom Zapisnika o pregledu i ocjeni ponude, dostavlja ponuditelju na dokaziv način.</w:t>
      </w:r>
    </w:p>
    <w:p w14:paraId="2E74F118" w14:textId="77777777" w:rsidR="004913D5" w:rsidRPr="00966181" w:rsidRDefault="004913D5" w:rsidP="004913D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</w:p>
    <w:p w14:paraId="7DCED940" w14:textId="77777777" w:rsidR="004913D5" w:rsidRPr="00966181" w:rsidRDefault="004913D5" w:rsidP="004913D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  <w:r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Odluka o davanju koncesije objavit će se u Elektroničkom oglasniku javne nabave Republike Hrvatske i na internetskoj stranici </w:t>
      </w:r>
      <w:proofErr w:type="spellStart"/>
      <w:r w:rsidRPr="00966181">
        <w:rPr>
          <w:rFonts w:ascii="Book Antiqua" w:hAnsi="Book Antiqua"/>
          <w:sz w:val="24"/>
          <w:szCs w:val="24"/>
          <w:shd w:val="clear" w:color="auto" w:fill="FFFFFF"/>
        </w:rPr>
        <w:t>Opć</w:t>
      </w:r>
      <w:proofErr w:type="spellEnd"/>
      <w:r w:rsidRPr="00966181">
        <w:rPr>
          <w:rFonts w:ascii="Book Antiqua" w:hAnsi="Book Antiqua"/>
          <w:sz w:val="24"/>
          <w:szCs w:val="24"/>
          <w:shd w:val="clear" w:color="auto" w:fill="FFFFFF"/>
          <w:lang w:val="de-DE"/>
        </w:rPr>
        <w:t xml:space="preserve">ine 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>Tovarnik.</w:t>
      </w:r>
    </w:p>
    <w:p w14:paraId="65892C54" w14:textId="77777777" w:rsidR="004913D5" w:rsidRPr="00966181" w:rsidRDefault="004913D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3BFDE33F" w14:textId="6A59F473" w:rsidR="00F84AB5" w:rsidRPr="00966181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966181">
        <w:rPr>
          <w:rFonts w:ascii="Book Antiqua" w:hAnsi="Book Antiqua" w:cs="Arial"/>
          <w:sz w:val="24"/>
          <w:szCs w:val="24"/>
        </w:rPr>
        <w:t>Na temelju ove Odluke ovlaš</w:t>
      </w:r>
      <w:r w:rsidRPr="00966181">
        <w:rPr>
          <w:rFonts w:ascii="Book Antiqua" w:hAnsi="Book Antiqua" w:cs="Times New Roman"/>
          <w:sz w:val="24"/>
          <w:szCs w:val="24"/>
        </w:rPr>
        <w:t>ć</w:t>
      </w:r>
      <w:r w:rsidRPr="00966181">
        <w:rPr>
          <w:rFonts w:ascii="Book Antiqua" w:hAnsi="Book Antiqua" w:cs="Arial"/>
          <w:sz w:val="24"/>
          <w:szCs w:val="24"/>
        </w:rPr>
        <w:t xml:space="preserve">uje se općinski načelnik za sklapanje ugovora o koncesiji, kojim </w:t>
      </w:r>
      <w:r w:rsidRPr="00966181">
        <w:rPr>
          <w:rFonts w:ascii="Book Antiqua" w:hAnsi="Book Antiqua" w:cs="Times New Roman"/>
          <w:sz w:val="24"/>
          <w:szCs w:val="24"/>
        </w:rPr>
        <w:t>ć</w:t>
      </w:r>
      <w:r w:rsidRPr="00966181">
        <w:rPr>
          <w:rFonts w:ascii="Book Antiqua" w:hAnsi="Book Antiqua" w:cs="Arial"/>
          <w:sz w:val="24"/>
          <w:szCs w:val="24"/>
        </w:rPr>
        <w:t>e se urediti prava i obveze Davatelja koncesije i Koncesionara.</w:t>
      </w:r>
    </w:p>
    <w:p w14:paraId="1803D6FE" w14:textId="77777777" w:rsidR="004913D5" w:rsidRPr="00966181" w:rsidRDefault="004913D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603ABED" w14:textId="77777777" w:rsidR="00F84AB5" w:rsidRPr="00966181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eastAsia="hr-HR"/>
        </w:rPr>
      </w:pPr>
      <w:r w:rsidRPr="00966181">
        <w:rPr>
          <w:rFonts w:ascii="Book Antiqua" w:hAnsi="Book Antiqua" w:cs="Arial"/>
          <w:sz w:val="24"/>
          <w:szCs w:val="24"/>
        </w:rPr>
        <w:t xml:space="preserve">Ugovor o koncesiji sklopit </w:t>
      </w:r>
      <w:r w:rsidRPr="00966181">
        <w:rPr>
          <w:rFonts w:ascii="Book Antiqua" w:hAnsi="Book Antiqua" w:cs="Times New Roman"/>
          <w:sz w:val="24"/>
          <w:szCs w:val="24"/>
        </w:rPr>
        <w:t>ć</w:t>
      </w:r>
      <w:r w:rsidRPr="00966181">
        <w:rPr>
          <w:rFonts w:ascii="Book Antiqua" w:hAnsi="Book Antiqua" w:cs="Arial"/>
          <w:sz w:val="24"/>
          <w:szCs w:val="24"/>
        </w:rPr>
        <w:t xml:space="preserve">e se nakon isteka roka mirovanja koji iznosi 15 dana od dana dostave ove Odluke svakom ponuditelju, odnosno </w:t>
      </w:r>
      <w:r w:rsidRPr="00966181">
        <w:rPr>
          <w:rFonts w:ascii="Book Antiqua" w:hAnsi="Book Antiqua" w:cs="Arial"/>
          <w:sz w:val="24"/>
          <w:szCs w:val="24"/>
          <w:lang w:eastAsia="hr-HR"/>
        </w:rPr>
        <w:t>najkasnije u roku od 10 dana od dana kada je odluka o davanju koncesije postala izvršna.</w:t>
      </w:r>
    </w:p>
    <w:p w14:paraId="25E753E1" w14:textId="77777777" w:rsidR="00F84AB5" w:rsidRPr="00966181" w:rsidRDefault="00F84AB5" w:rsidP="00F84AB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eastAsia="hr-HR"/>
        </w:rPr>
      </w:pPr>
    </w:p>
    <w:p w14:paraId="36899BBB" w14:textId="7EE1ECF5" w:rsidR="00F84AB5" w:rsidRPr="00966181" w:rsidRDefault="00F84AB5" w:rsidP="00F84AB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eastAsia="hr-HR"/>
        </w:rPr>
      </w:pPr>
      <w:r w:rsidRPr="00966181">
        <w:rPr>
          <w:rFonts w:ascii="Book Antiqua" w:hAnsi="Book Antiqua" w:cs="Arial"/>
          <w:b/>
          <w:sz w:val="24"/>
          <w:szCs w:val="24"/>
          <w:lang w:eastAsia="hr-HR"/>
        </w:rPr>
        <w:t>VII</w:t>
      </w:r>
      <w:r w:rsidR="00D9764F">
        <w:rPr>
          <w:rFonts w:ascii="Book Antiqua" w:hAnsi="Book Antiqua" w:cs="Arial"/>
          <w:b/>
          <w:sz w:val="24"/>
          <w:szCs w:val="24"/>
          <w:lang w:eastAsia="hr-HR"/>
        </w:rPr>
        <w:t>I</w:t>
      </w:r>
      <w:r w:rsidR="00202EAA">
        <w:rPr>
          <w:rFonts w:ascii="Book Antiqua" w:hAnsi="Book Antiqua" w:cs="Arial"/>
          <w:b/>
          <w:sz w:val="24"/>
          <w:szCs w:val="24"/>
          <w:lang w:eastAsia="hr-HR"/>
        </w:rPr>
        <w:t>.</w:t>
      </w:r>
    </w:p>
    <w:p w14:paraId="18AA5A5F" w14:textId="77777777" w:rsidR="004913D5" w:rsidRPr="00966181" w:rsidRDefault="004913D5" w:rsidP="004913D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  <w:r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U svrhu jamstva za </w:t>
      </w:r>
      <w:r w:rsidRPr="00966181">
        <w:rPr>
          <w:rFonts w:ascii="Book Antiqua" w:hAnsi="Book Antiqua"/>
          <w:sz w:val="24"/>
          <w:szCs w:val="24"/>
        </w:rPr>
        <w:t>provedbu ugovora o koncesiji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, koncesionar se obvezuje davatelju koncesije </w:t>
      </w:r>
      <w:r w:rsidRPr="00966181">
        <w:rPr>
          <w:rFonts w:ascii="Book Antiqua" w:hAnsi="Book Antiqua"/>
          <w:sz w:val="24"/>
          <w:szCs w:val="24"/>
          <w:u w:color="231F20"/>
        </w:rPr>
        <w:t>prije sklapanja ugovora o koncesiji ili prije stupanja na snagu ugovora o koncesiji</w:t>
      </w:r>
      <w:r w:rsidRPr="00966181">
        <w:rPr>
          <w:rFonts w:ascii="Book Antiqua" w:hAnsi="Book Antiqua"/>
          <w:color w:val="231F20"/>
          <w:sz w:val="24"/>
          <w:szCs w:val="24"/>
          <w:u w:color="231F20"/>
        </w:rPr>
        <w:t xml:space="preserve">, </w:t>
      </w:r>
      <w:bookmarkStart w:id="3" w:name="_Hlk96060835"/>
      <w:r w:rsidRPr="00966181">
        <w:rPr>
          <w:rFonts w:ascii="Book Antiqua" w:hAnsi="Book Antiqua"/>
          <w:sz w:val="24"/>
          <w:szCs w:val="24"/>
        </w:rPr>
        <w:t>a najkasnije u roku od maksimalno 10 (deset) dana od izvršnosti Odluke o davanju koncesije,</w:t>
      </w:r>
      <w:bookmarkEnd w:id="3"/>
      <w:r w:rsidRPr="00966181">
        <w:rPr>
          <w:rFonts w:ascii="Book Antiqua" w:hAnsi="Book Antiqua"/>
          <w:sz w:val="24"/>
          <w:szCs w:val="24"/>
        </w:rPr>
        <w:t xml:space="preserve"> 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dostaviti zadužnicu ili bjanko zadužnicu sa javnobilježnički ovjerenim potpisom osobe ovlaštene za zastupanje na iznos od 200.000,00 kuna, a davatelj koncesije će navedenu zadužnicu vratiti koncesionaru po isteku ugovora o 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lastRenderedPageBreak/>
        <w:t xml:space="preserve">koncesiji. Umjesto zadužnice ili bjanko zadužnice </w:t>
      </w:r>
      <w:r w:rsidRPr="00966181">
        <w:rPr>
          <w:rFonts w:ascii="Book Antiqua" w:hAnsi="Book Antiqua"/>
          <w:sz w:val="24"/>
          <w:szCs w:val="24"/>
          <w:shd w:val="clear" w:color="auto" w:fill="FFFFFF"/>
          <w:lang w:val="es-ES_tradnl"/>
        </w:rPr>
        <w:t>koncesionar mo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>že uplatiti novčani polog.</w:t>
      </w:r>
    </w:p>
    <w:p w14:paraId="5A59AFFF" w14:textId="77777777" w:rsidR="004913D5" w:rsidRPr="00966181" w:rsidRDefault="004913D5" w:rsidP="004913D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</w:p>
    <w:p w14:paraId="3DC1C066" w14:textId="77777777" w:rsidR="004913D5" w:rsidRPr="00966181" w:rsidRDefault="004913D5" w:rsidP="004913D5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  <w:r w:rsidRPr="00966181">
        <w:rPr>
          <w:rFonts w:ascii="Book Antiqua" w:hAnsi="Book Antiqua"/>
          <w:sz w:val="24"/>
          <w:szCs w:val="24"/>
        </w:rPr>
        <w:t>Rok valjanosti jamstva za provedbu ugovora o koncesiji mora biti najmanje 3 mjeseca duže od roka na koji se sklapa ugovor o koncesiji, a gospodarski subjekt može dostaviti jamstvo dužeg roka valjanosti od navedenog.</w:t>
      </w:r>
    </w:p>
    <w:p w14:paraId="54A3A676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2535E70B" w14:textId="77777777" w:rsidR="00F84AB5" w:rsidRPr="00966181" w:rsidRDefault="00F84AB5" w:rsidP="00F84AB5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966181">
        <w:rPr>
          <w:rFonts w:ascii="Book Antiqua" w:hAnsi="Book Antiqua" w:cstheme="minorHAnsi"/>
          <w:b/>
          <w:sz w:val="24"/>
          <w:szCs w:val="24"/>
        </w:rPr>
        <w:t>O b r a z l o ž e n j e</w:t>
      </w:r>
    </w:p>
    <w:p w14:paraId="1FED533C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2971EDA9" w14:textId="77777777" w:rsidR="0009285E" w:rsidRPr="00966181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  <w:r w:rsidRPr="00966181">
        <w:rPr>
          <w:rFonts w:ascii="Book Antiqua" w:hAnsi="Book Antiqua"/>
          <w:sz w:val="24"/>
          <w:szCs w:val="24"/>
          <w:shd w:val="clear" w:color="auto" w:fill="FFFFFF"/>
          <w:lang w:val="nl-NL"/>
        </w:rPr>
        <w:t>Op</w:t>
      </w:r>
      <w:proofErr w:type="spellStart"/>
      <w:r w:rsidRPr="00966181">
        <w:rPr>
          <w:rFonts w:ascii="Book Antiqua" w:hAnsi="Book Antiqua"/>
          <w:sz w:val="24"/>
          <w:szCs w:val="24"/>
          <w:shd w:val="clear" w:color="auto" w:fill="FFFFFF"/>
        </w:rPr>
        <w:t>ćina</w:t>
      </w:r>
      <w:proofErr w:type="spellEnd"/>
      <w:r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 Tovarnik kao davatelj koncesije je pokrenula postupak davanja koncesije slanjem Obavijesti o namjeri davanja koncesije </w:t>
      </w:r>
      <w:r w:rsidRPr="00966181">
        <w:rPr>
          <w:rFonts w:ascii="Book Antiqua" w:hAnsi="Book Antiqua"/>
          <w:sz w:val="24"/>
          <w:szCs w:val="24"/>
          <w:u w:color="000000"/>
        </w:rPr>
        <w:t>za opće dobro ili usluge ispod EU praga u Elektroničkom oglasniku javne nabave.</w:t>
      </w:r>
    </w:p>
    <w:p w14:paraId="12B738AD" w14:textId="77777777" w:rsidR="0009285E" w:rsidRPr="00966181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</w:p>
    <w:p w14:paraId="1A05F4E1" w14:textId="77777777" w:rsidR="0009285E" w:rsidRPr="00966181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  <w:r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Obavijest o namjeri davanja koncesije je objavljena 13.travnja 2022.godine u Elektroničkom oglasniku javne nabave Republike Hrvatske pod oznakom </w:t>
      </w:r>
      <w:r w:rsidRPr="00966181">
        <w:rPr>
          <w:rFonts w:ascii="Book Antiqua" w:hAnsi="Book Antiqua"/>
          <w:sz w:val="24"/>
          <w:szCs w:val="24"/>
          <w:u w:color="000000"/>
        </w:rPr>
        <w:t>2022/S 01K-0015107.</w:t>
      </w:r>
    </w:p>
    <w:p w14:paraId="71901FC5" w14:textId="77777777" w:rsidR="0009285E" w:rsidRPr="00966181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</w:p>
    <w:p w14:paraId="411FC612" w14:textId="000D2693" w:rsidR="0009285E" w:rsidRPr="00966181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  <w:r w:rsidRPr="00966181">
        <w:rPr>
          <w:rFonts w:ascii="Book Antiqua" w:hAnsi="Book Antiqua"/>
          <w:sz w:val="24"/>
          <w:szCs w:val="24"/>
          <w:shd w:val="clear" w:color="auto" w:fill="FFFFFF"/>
        </w:rPr>
        <w:t>Javnom otvaranju pristiglih ponuda pristupilo se 02.</w:t>
      </w:r>
      <w:r w:rsidR="00966181"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>lipnja 2022.g</w:t>
      </w:r>
      <w:r w:rsidR="00966181" w:rsidRPr="00966181">
        <w:rPr>
          <w:rFonts w:ascii="Book Antiqua" w:hAnsi="Book Antiqua"/>
          <w:sz w:val="24"/>
          <w:szCs w:val="24"/>
          <w:shd w:val="clear" w:color="auto" w:fill="FFFFFF"/>
        </w:rPr>
        <w:t>od.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 na adresi </w:t>
      </w:r>
      <w:r w:rsidRPr="00966181">
        <w:rPr>
          <w:rFonts w:ascii="Book Antiqua" w:hAnsi="Book Antiqua"/>
          <w:sz w:val="24"/>
          <w:szCs w:val="24"/>
          <w:lang w:val="pt-PT"/>
        </w:rPr>
        <w:t>A.</w:t>
      </w:r>
      <w:r w:rsidR="00966181" w:rsidRPr="00966181">
        <w:rPr>
          <w:rFonts w:ascii="Book Antiqua" w:hAnsi="Book Antiqua"/>
          <w:sz w:val="24"/>
          <w:szCs w:val="24"/>
          <w:lang w:val="pt-PT"/>
        </w:rPr>
        <w:t xml:space="preserve"> </w:t>
      </w:r>
      <w:r w:rsidRPr="00966181">
        <w:rPr>
          <w:rFonts w:ascii="Book Antiqua" w:hAnsi="Book Antiqua"/>
          <w:sz w:val="24"/>
          <w:szCs w:val="24"/>
          <w:lang w:val="pt-PT"/>
        </w:rPr>
        <w:t>G.</w:t>
      </w:r>
      <w:r w:rsidR="00966181" w:rsidRPr="00966181">
        <w:rPr>
          <w:rFonts w:ascii="Book Antiqua" w:hAnsi="Book Antiqua"/>
          <w:sz w:val="24"/>
          <w:szCs w:val="24"/>
          <w:lang w:val="pt-PT"/>
        </w:rPr>
        <w:t xml:space="preserve"> </w:t>
      </w:r>
      <w:r w:rsidRPr="00966181">
        <w:rPr>
          <w:rFonts w:ascii="Book Antiqua" w:hAnsi="Book Antiqua"/>
          <w:sz w:val="24"/>
          <w:szCs w:val="24"/>
          <w:lang w:val="pt-PT"/>
        </w:rPr>
        <w:t>Mato</w:t>
      </w:r>
      <w:proofErr w:type="spellStart"/>
      <w:r w:rsidRPr="00966181">
        <w:rPr>
          <w:rFonts w:ascii="Book Antiqua" w:hAnsi="Book Antiqua"/>
          <w:sz w:val="24"/>
          <w:szCs w:val="24"/>
        </w:rPr>
        <w:t>ša</w:t>
      </w:r>
      <w:proofErr w:type="spellEnd"/>
      <w:r w:rsidRPr="00966181">
        <w:rPr>
          <w:rFonts w:ascii="Book Antiqua" w:hAnsi="Book Antiqua"/>
          <w:sz w:val="24"/>
          <w:szCs w:val="24"/>
        </w:rPr>
        <w:t xml:space="preserve"> 2, 32249 Tovarnik </w:t>
      </w:r>
      <w:r w:rsidRPr="00966181">
        <w:rPr>
          <w:rFonts w:ascii="Book Antiqua" w:hAnsi="Book Antiqua"/>
          <w:sz w:val="24"/>
          <w:szCs w:val="24"/>
          <w:shd w:val="clear" w:color="auto" w:fill="FFFFFF"/>
          <w:lang w:val="fr-FR"/>
        </w:rPr>
        <w:t>s po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>četkom u 12:00 sati.</w:t>
      </w:r>
    </w:p>
    <w:p w14:paraId="7AFE83F7" w14:textId="77777777" w:rsidR="0009285E" w:rsidRPr="00966181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</w:p>
    <w:p w14:paraId="11199C5C" w14:textId="21B3E3E5" w:rsidR="0009285E" w:rsidRPr="00966181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966181">
        <w:rPr>
          <w:rFonts w:ascii="Book Antiqua" w:hAnsi="Book Antiqua"/>
          <w:sz w:val="24"/>
          <w:szCs w:val="24"/>
          <w:shd w:val="clear" w:color="auto" w:fill="FFFFFF"/>
        </w:rPr>
        <w:t>Zapisnikom o javnom otvaranju ponuda utvrđeno je da je prema objavljenoj Obavijesti o namjeri davanja koncesiji pristigla jedna ponuda i to:</w:t>
      </w:r>
    </w:p>
    <w:p w14:paraId="0D3A936C" w14:textId="77777777" w:rsidR="0009285E" w:rsidRPr="00966181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</w:p>
    <w:p w14:paraId="1E903231" w14:textId="77777777" w:rsidR="0009285E" w:rsidRPr="00966181" w:rsidRDefault="0009285E" w:rsidP="0009285E">
      <w:pPr>
        <w:pStyle w:val="Podnoj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right="283"/>
        <w:jc w:val="both"/>
        <w:rPr>
          <w:rFonts w:ascii="Book Antiqua" w:hAnsi="Book Antiqua"/>
          <w:sz w:val="24"/>
          <w:szCs w:val="24"/>
          <w:u w:color="5A5A5A"/>
        </w:rPr>
      </w:pPr>
      <w:r w:rsidRPr="00966181">
        <w:rPr>
          <w:rFonts w:ascii="Book Antiqua" w:hAnsi="Book Antiqua"/>
          <w:sz w:val="24"/>
          <w:szCs w:val="24"/>
          <w:u w:color="000000"/>
        </w:rPr>
        <w:t>Ponuda ponuditelja EKO-FLOR PLUS d.o.o., Mokrice 180 C, 49243 Oroslavje, OIB 50730247993</w:t>
      </w:r>
    </w:p>
    <w:p w14:paraId="1CE24131" w14:textId="77777777" w:rsidR="0009285E" w:rsidRPr="00966181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</w:p>
    <w:p w14:paraId="2EEBC1E7" w14:textId="77777777" w:rsidR="0009285E" w:rsidRPr="00966181" w:rsidRDefault="0009285E" w:rsidP="0009285E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  <w:r w:rsidRPr="00966181">
        <w:rPr>
          <w:rFonts w:ascii="Book Antiqua" w:hAnsi="Book Antiqua"/>
          <w:sz w:val="24"/>
          <w:szCs w:val="24"/>
          <w:shd w:val="clear" w:color="auto" w:fill="FFFFFF"/>
          <w:lang w:val="de-DE"/>
        </w:rPr>
        <w:t>Stru</w:t>
      </w:r>
      <w:proofErr w:type="spellStart"/>
      <w:r w:rsidRPr="00966181">
        <w:rPr>
          <w:rFonts w:ascii="Book Antiqua" w:hAnsi="Book Antiqua"/>
          <w:sz w:val="24"/>
          <w:szCs w:val="24"/>
          <w:shd w:val="clear" w:color="auto" w:fill="FFFFFF"/>
        </w:rPr>
        <w:t>čno</w:t>
      </w:r>
      <w:proofErr w:type="spellEnd"/>
      <w:r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 povjerenstvo utvrdilo je da je ponuda ponuditelja</w:t>
      </w:r>
      <w:r w:rsidRPr="00966181">
        <w:rPr>
          <w:rFonts w:ascii="Book Antiqua" w:hAnsi="Book Antiqua"/>
          <w:sz w:val="24"/>
          <w:szCs w:val="24"/>
        </w:rPr>
        <w:t xml:space="preserve"> </w:t>
      </w:r>
      <w:r w:rsidRPr="00966181">
        <w:rPr>
          <w:rFonts w:ascii="Book Antiqua" w:hAnsi="Book Antiqua"/>
          <w:sz w:val="24"/>
          <w:szCs w:val="24"/>
          <w:u w:color="000000"/>
        </w:rPr>
        <w:t xml:space="preserve">EKO-FLOR PLUS d.o.o., Mokrice 180 C, Oroslavje, OIB 50730247993 valjana te je sukladno propisanom kriteriju odabira - ekonomski najpovoljnija ponuda, predložilo </w:t>
      </w:r>
      <w:r w:rsidRPr="00966181">
        <w:rPr>
          <w:rFonts w:ascii="Book Antiqua" w:hAnsi="Book Antiqua"/>
          <w:sz w:val="24"/>
          <w:szCs w:val="24"/>
          <w:u w:color="000000"/>
          <w:lang w:val="it-IT"/>
        </w:rPr>
        <w:t>dono</w:t>
      </w:r>
      <w:proofErr w:type="spellStart"/>
      <w:r w:rsidRPr="00966181">
        <w:rPr>
          <w:rFonts w:ascii="Book Antiqua" w:hAnsi="Book Antiqua"/>
          <w:sz w:val="24"/>
          <w:szCs w:val="24"/>
          <w:u w:color="000000"/>
        </w:rPr>
        <w:t>šenje</w:t>
      </w:r>
      <w:proofErr w:type="spellEnd"/>
      <w:r w:rsidRPr="00966181">
        <w:rPr>
          <w:rFonts w:ascii="Book Antiqua" w:hAnsi="Book Antiqua"/>
          <w:sz w:val="24"/>
          <w:szCs w:val="24"/>
          <w:u w:color="000000"/>
        </w:rPr>
        <w:t xml:space="preserve"> Odluke</w:t>
      </w:r>
      <w:r w:rsidRPr="00966181">
        <w:rPr>
          <w:rFonts w:ascii="Book Antiqua" w:hAnsi="Book Antiqua"/>
          <w:sz w:val="24"/>
          <w:szCs w:val="24"/>
          <w:u w:color="000000"/>
          <w:lang w:val="pt-PT"/>
        </w:rPr>
        <w:t xml:space="preserve"> o </w:t>
      </w:r>
      <w:r w:rsidRPr="00966181">
        <w:rPr>
          <w:rFonts w:ascii="Book Antiqua" w:hAnsi="Book Antiqua"/>
          <w:sz w:val="24"/>
          <w:szCs w:val="24"/>
          <w:u w:color="000000"/>
        </w:rPr>
        <w:t>davanju koncesije ponuditelju EKO-FLOR PLUS d.o.o., Mokrice 180 C, 49243 Oroslavje, OIB 50730247993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>. Stoga je na prijedlog Stručnog povjerenstva odlučeno kao u izreci ove Odluke.</w:t>
      </w:r>
    </w:p>
    <w:p w14:paraId="21C1C51E" w14:textId="77777777" w:rsidR="0009285E" w:rsidRPr="00966181" w:rsidRDefault="0009285E" w:rsidP="00F84AB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02C02B21" w14:textId="2ABCA2E4" w:rsidR="00F84AB5" w:rsidRPr="00966181" w:rsidRDefault="00F84AB5" w:rsidP="00F84AB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966181">
        <w:rPr>
          <w:rFonts w:ascii="Book Antiqua" w:hAnsi="Book Antiqua"/>
          <w:b/>
          <w:sz w:val="24"/>
          <w:szCs w:val="24"/>
        </w:rPr>
        <w:t>UPUTA O PRAVNOM LIJEKU:</w:t>
      </w:r>
    </w:p>
    <w:p w14:paraId="5D3112DC" w14:textId="374796EA" w:rsidR="009552EB" w:rsidRPr="00966181" w:rsidRDefault="009552EB" w:rsidP="009552EB">
      <w:pPr>
        <w:pStyle w:val="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</w:tabs>
        <w:jc w:val="both"/>
        <w:rPr>
          <w:rFonts w:ascii="Book Antiqua" w:eastAsia="Times New Roman" w:hAnsi="Book Antiqua" w:cs="Times New Roman"/>
          <w:sz w:val="24"/>
          <w:szCs w:val="24"/>
          <w:shd w:val="clear" w:color="auto" w:fill="FFFFFF"/>
        </w:rPr>
      </w:pPr>
      <w:r w:rsidRPr="00966181">
        <w:rPr>
          <w:rFonts w:ascii="Book Antiqua" w:hAnsi="Book Antiqua"/>
          <w:sz w:val="24"/>
          <w:szCs w:val="24"/>
          <w:shd w:val="clear" w:color="auto" w:fill="FFFFFF"/>
        </w:rPr>
        <w:t>Protiv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 ove Odluke se mo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>ž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e izjaviti žalba. Žalba se izjavljuje </w:t>
      </w:r>
      <w:r w:rsidR="008B15F7"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u pisanom obliku, izravno ili preporučenom poštanskom pošiljkom,  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Državnoj komisiji za kontrolu postupaka javna nabave, Koturaška cesta 43/IV,10000 Zagreb, </w:t>
      </w:r>
      <w:r w:rsidR="008B15F7" w:rsidRPr="00966181">
        <w:rPr>
          <w:rFonts w:ascii="Book Antiqua" w:hAnsi="Book Antiqua"/>
          <w:sz w:val="24"/>
          <w:szCs w:val="24"/>
          <w:shd w:val="clear" w:color="auto" w:fill="FFFFFF"/>
        </w:rPr>
        <w:t>u roku od 10 dana od dana primitka ove Odluke</w:t>
      </w:r>
      <w:r w:rsidR="008B15F7"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, 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>a istodobno</w:t>
      </w:r>
      <w:r w:rsidR="008B15F7"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 se </w:t>
      </w:r>
      <w:r w:rsidRPr="00966181">
        <w:rPr>
          <w:rFonts w:ascii="Book Antiqua" w:hAnsi="Book Antiqua"/>
          <w:sz w:val="24"/>
          <w:szCs w:val="24"/>
          <w:shd w:val="clear" w:color="auto" w:fill="FFFFFF"/>
        </w:rPr>
        <w:t xml:space="preserve"> predaje davatelju koncesije u pisanom obliku izravno ili preporučenom poštanskom pošiljkom u roku od 10 dana od dana primitka ove Odluke.</w:t>
      </w:r>
    </w:p>
    <w:p w14:paraId="1C68829D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06787EA" w14:textId="77777777" w:rsidR="00F84AB5" w:rsidRPr="00966181" w:rsidRDefault="00F84AB5" w:rsidP="00F84AB5">
      <w:pPr>
        <w:spacing w:after="0" w:line="240" w:lineRule="auto"/>
        <w:jc w:val="both"/>
        <w:rPr>
          <w:rFonts w:ascii="Book Antiqua" w:hAnsi="Book Antiqua"/>
          <w:i/>
          <w:iCs/>
          <w:sz w:val="24"/>
          <w:szCs w:val="24"/>
        </w:rPr>
      </w:pPr>
    </w:p>
    <w:p w14:paraId="4ED615C4" w14:textId="77777777" w:rsidR="00F84AB5" w:rsidRPr="00966181" w:rsidRDefault="00F84AB5" w:rsidP="00F84AB5">
      <w:pPr>
        <w:spacing w:after="0" w:line="240" w:lineRule="auto"/>
        <w:jc w:val="right"/>
        <w:rPr>
          <w:rFonts w:ascii="Book Antiqua" w:hAnsi="Book Antiqua"/>
          <w:iCs/>
          <w:sz w:val="24"/>
          <w:szCs w:val="24"/>
        </w:rPr>
      </w:pPr>
      <w:r w:rsidRPr="00966181">
        <w:rPr>
          <w:rFonts w:ascii="Book Antiqua" w:hAnsi="Book Antiqua"/>
          <w:iCs/>
          <w:sz w:val="24"/>
          <w:szCs w:val="24"/>
        </w:rPr>
        <w:t>PREDSJEDNIK OPĆINSKOG VIJEĆA</w:t>
      </w:r>
    </w:p>
    <w:p w14:paraId="060DE07D" w14:textId="7C9EBD91" w:rsidR="00F84AB5" w:rsidRPr="00966181" w:rsidRDefault="0009285E" w:rsidP="00F84AB5">
      <w:pPr>
        <w:spacing w:after="0" w:line="240" w:lineRule="auto"/>
        <w:jc w:val="right"/>
        <w:rPr>
          <w:rFonts w:ascii="Book Antiqua" w:hAnsi="Book Antiqua"/>
          <w:iCs/>
          <w:sz w:val="24"/>
          <w:szCs w:val="24"/>
        </w:rPr>
      </w:pPr>
      <w:r w:rsidRPr="00966181">
        <w:rPr>
          <w:rFonts w:ascii="Book Antiqua" w:hAnsi="Book Antiqua"/>
          <w:iCs/>
          <w:sz w:val="24"/>
          <w:szCs w:val="24"/>
        </w:rPr>
        <w:t xml:space="preserve">Dubravko Blašković </w:t>
      </w:r>
    </w:p>
    <w:p w14:paraId="5D69DE8B" w14:textId="77777777" w:rsidR="00F84AB5" w:rsidRPr="00966181" w:rsidRDefault="00F84AB5" w:rsidP="00F84AB5">
      <w:pPr>
        <w:spacing w:after="0" w:line="240" w:lineRule="auto"/>
        <w:jc w:val="right"/>
        <w:rPr>
          <w:rFonts w:ascii="Book Antiqua" w:hAnsi="Book Antiqua"/>
          <w:b/>
          <w:sz w:val="24"/>
          <w:szCs w:val="24"/>
        </w:rPr>
      </w:pPr>
    </w:p>
    <w:p w14:paraId="3D795F15" w14:textId="77777777" w:rsidR="00F170B3" w:rsidRPr="00966181" w:rsidRDefault="00F170B3">
      <w:pPr>
        <w:rPr>
          <w:rFonts w:ascii="Book Antiqua" w:hAnsi="Book Antiqua"/>
          <w:sz w:val="24"/>
          <w:szCs w:val="24"/>
        </w:rPr>
      </w:pPr>
    </w:p>
    <w:sectPr w:rsidR="00F170B3" w:rsidRPr="00966181" w:rsidSect="00A0046E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B324" w14:textId="77777777" w:rsidR="00757FE2" w:rsidRDefault="00757FE2">
      <w:pPr>
        <w:spacing w:after="0" w:line="240" w:lineRule="auto"/>
      </w:pPr>
      <w:r>
        <w:separator/>
      </w:r>
    </w:p>
  </w:endnote>
  <w:endnote w:type="continuationSeparator" w:id="0">
    <w:p w14:paraId="20CCA93C" w14:textId="77777777" w:rsidR="00757FE2" w:rsidRDefault="0075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roman"/>
    <w:pitch w:val="default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76297"/>
      <w:docPartObj>
        <w:docPartGallery w:val="Page Numbers (Bottom of Page)"/>
        <w:docPartUnique/>
      </w:docPartObj>
    </w:sdtPr>
    <w:sdtEndPr/>
    <w:sdtContent>
      <w:p w14:paraId="1F208CC6" w14:textId="023F9D61" w:rsidR="00DC09C7" w:rsidRDefault="00F84AB5">
        <w:pPr>
          <w:pStyle w:val="Podnoje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46186A" wp14:editId="11F1BF2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235F24" w14:textId="77777777" w:rsidR="00DC09C7" w:rsidRDefault="00CF6F8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DF10C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46186A" id="Grupa 2" o:spid="_x0000_s1026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5235F24" w14:textId="77777777" w:rsidR="00DC09C7" w:rsidRDefault="00CF6F8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DF10C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yzwgAAANoAAAAPAAAAZHJzL2Rvd25yZXYueG1sRI9Pi8Iw&#10;FMTvwn6H8Bb2Ippa0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Be15yz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7DDD" w14:textId="77777777" w:rsidR="00757FE2" w:rsidRDefault="00757FE2">
      <w:pPr>
        <w:spacing w:after="0" w:line="240" w:lineRule="auto"/>
      </w:pPr>
      <w:r>
        <w:separator/>
      </w:r>
    </w:p>
  </w:footnote>
  <w:footnote w:type="continuationSeparator" w:id="0">
    <w:p w14:paraId="6FBACEEA" w14:textId="77777777" w:rsidR="00757FE2" w:rsidRDefault="00757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0B3"/>
    <w:multiLevelType w:val="hybridMultilevel"/>
    <w:tmpl w:val="913897BE"/>
    <w:styleLink w:val="ImportedStyle5"/>
    <w:lvl w:ilvl="0" w:tplc="FAFE6876">
      <w:start w:val="1"/>
      <w:numFmt w:val="decimal"/>
      <w:suff w:val="nothing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1C198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8BA12">
      <w:start w:val="1"/>
      <w:numFmt w:val="lowerRoman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E2307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8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0B06C">
      <w:start w:val="1"/>
      <w:numFmt w:val="lowerLetter"/>
      <w:suff w:val="nothing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0E1156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865F4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20FE16">
      <w:start w:val="1"/>
      <w:numFmt w:val="lowerLetter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5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0044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9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5B1E33"/>
    <w:multiLevelType w:val="hybridMultilevel"/>
    <w:tmpl w:val="87540A52"/>
    <w:numStyleLink w:val="Numbered"/>
  </w:abstractNum>
  <w:abstractNum w:abstractNumId="2" w15:restartNumberingAfterBreak="0">
    <w:nsid w:val="1B900FDD"/>
    <w:multiLevelType w:val="hybridMultilevel"/>
    <w:tmpl w:val="3D147832"/>
    <w:lvl w:ilvl="0" w:tplc="AE06CB9C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7C4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361E5"/>
    <w:multiLevelType w:val="hybridMultilevel"/>
    <w:tmpl w:val="557AB8FE"/>
    <w:lvl w:ilvl="0" w:tplc="3AF8A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10A38"/>
    <w:multiLevelType w:val="hybridMultilevel"/>
    <w:tmpl w:val="87540A52"/>
    <w:styleLink w:val="Numbered"/>
    <w:lvl w:ilvl="0" w:tplc="26E8D51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8A94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E814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D2DDA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AFD4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C585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74EBA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F0EAF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A85A7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ED30A7"/>
    <w:multiLevelType w:val="hybridMultilevel"/>
    <w:tmpl w:val="35AEC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70B"/>
    <w:multiLevelType w:val="hybridMultilevel"/>
    <w:tmpl w:val="C9987C4C"/>
    <w:lvl w:ilvl="0" w:tplc="C2389A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3852263"/>
    <w:multiLevelType w:val="hybridMultilevel"/>
    <w:tmpl w:val="8E7496F8"/>
    <w:lvl w:ilvl="0" w:tplc="639A84FE">
      <w:start w:val="1"/>
      <w:numFmt w:val="decimal"/>
      <w:lvlText w:val="(%1)"/>
      <w:lvlJc w:val="left"/>
      <w:rPr>
        <w:rFonts w:ascii="Calibri Light" w:hAnsi="Calibri Light" w:cs="Calibri Light" w:hint="default"/>
        <w:color w:val="41414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51E4"/>
    <w:multiLevelType w:val="hybridMultilevel"/>
    <w:tmpl w:val="913897BE"/>
    <w:numStyleLink w:val="ImportedStyle5"/>
  </w:abstractNum>
  <w:abstractNum w:abstractNumId="9" w15:restartNumberingAfterBreak="0">
    <w:nsid w:val="540165A3"/>
    <w:multiLevelType w:val="multilevel"/>
    <w:tmpl w:val="B49AF26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4E77B76"/>
    <w:multiLevelType w:val="hybridMultilevel"/>
    <w:tmpl w:val="51023C74"/>
    <w:styleLink w:val="Numbered0"/>
    <w:lvl w:ilvl="0" w:tplc="85FA3AAC">
      <w:start w:val="1"/>
      <w:numFmt w:val="decimal"/>
      <w:lvlText w:val="%1."/>
      <w:lvlJc w:val="left"/>
      <w:pPr>
        <w:ind w:left="95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E7CAE">
      <w:start w:val="1"/>
      <w:numFmt w:val="decimal"/>
      <w:lvlText w:val="%2."/>
      <w:lvlJc w:val="left"/>
      <w:pPr>
        <w:ind w:left="12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8F294">
      <w:start w:val="1"/>
      <w:numFmt w:val="decimal"/>
      <w:lvlText w:val="%3."/>
      <w:lvlJc w:val="left"/>
      <w:pPr>
        <w:ind w:left="16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130C">
      <w:start w:val="1"/>
      <w:numFmt w:val="decimal"/>
      <w:lvlText w:val="%4."/>
      <w:lvlJc w:val="left"/>
      <w:pPr>
        <w:ind w:left="20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2B7BA">
      <w:start w:val="1"/>
      <w:numFmt w:val="decimal"/>
      <w:lvlText w:val="%5."/>
      <w:lvlJc w:val="left"/>
      <w:pPr>
        <w:ind w:left="2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2278C">
      <w:start w:val="1"/>
      <w:numFmt w:val="decimal"/>
      <w:lvlText w:val="%6."/>
      <w:lvlJc w:val="left"/>
      <w:pPr>
        <w:ind w:left="27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9E78DA">
      <w:start w:val="1"/>
      <w:numFmt w:val="decimal"/>
      <w:lvlText w:val="%7."/>
      <w:lvlJc w:val="left"/>
      <w:pPr>
        <w:ind w:left="3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C9E0A">
      <w:start w:val="1"/>
      <w:numFmt w:val="decimal"/>
      <w:lvlText w:val="%8."/>
      <w:lvlJc w:val="left"/>
      <w:pPr>
        <w:ind w:left="34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A32B4">
      <w:start w:val="1"/>
      <w:numFmt w:val="decimal"/>
      <w:lvlText w:val="%9."/>
      <w:lvlJc w:val="left"/>
      <w:pPr>
        <w:ind w:left="38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FD82DA1"/>
    <w:multiLevelType w:val="hybridMultilevel"/>
    <w:tmpl w:val="D7BCE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9351D"/>
    <w:multiLevelType w:val="hybridMultilevel"/>
    <w:tmpl w:val="85AEE0A6"/>
    <w:lvl w:ilvl="0" w:tplc="7D827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86E58"/>
    <w:multiLevelType w:val="hybridMultilevel"/>
    <w:tmpl w:val="F3DA7E8A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C2141"/>
    <w:multiLevelType w:val="hybridMultilevel"/>
    <w:tmpl w:val="51023C74"/>
    <w:numStyleLink w:val="Numbered0"/>
  </w:abstractNum>
  <w:abstractNum w:abstractNumId="15" w15:restartNumberingAfterBreak="0">
    <w:nsid w:val="764341B1"/>
    <w:multiLevelType w:val="hybridMultilevel"/>
    <w:tmpl w:val="EFF8995C"/>
    <w:lvl w:ilvl="0" w:tplc="7F3456D0">
      <w:start w:val="1"/>
      <w:numFmt w:val="decimal"/>
      <w:lvlText w:val="(%1)"/>
      <w:lvlJc w:val="left"/>
      <w:rPr>
        <w:rFonts w:ascii="Calibri Light" w:hAnsi="Calibri Light" w:cs="Calibri Light" w:hint="default"/>
        <w:color w:val="41414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8027E"/>
    <w:multiLevelType w:val="hybridMultilevel"/>
    <w:tmpl w:val="BB28628E"/>
    <w:lvl w:ilvl="0" w:tplc="0ECE3DA8">
      <w:start w:val="1"/>
      <w:numFmt w:val="decimal"/>
      <w:lvlText w:val="(%1)"/>
      <w:lvlJc w:val="left"/>
      <w:pPr>
        <w:ind w:left="2061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04BE5"/>
    <w:multiLevelType w:val="hybridMultilevel"/>
    <w:tmpl w:val="BE92968A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96141"/>
    <w:multiLevelType w:val="hybridMultilevel"/>
    <w:tmpl w:val="92BA6E80"/>
    <w:lvl w:ilvl="0" w:tplc="C30408BC">
      <w:start w:val="1"/>
      <w:numFmt w:val="decimal"/>
      <w:lvlText w:val="%1."/>
      <w:lvlJc w:val="left"/>
      <w:rPr>
        <w:rFonts w:ascii="Calibri Light" w:hAnsi="Calibri Light" w:cs="Calibri Light" w:hint="default"/>
        <w:color w:val="41414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21118">
    <w:abstractNumId w:val="13"/>
  </w:num>
  <w:num w:numId="2" w16cid:durableId="1069425234">
    <w:abstractNumId w:val="17"/>
  </w:num>
  <w:num w:numId="3" w16cid:durableId="1238706770">
    <w:abstractNumId w:val="2"/>
  </w:num>
  <w:num w:numId="4" w16cid:durableId="987637761">
    <w:abstractNumId w:val="9"/>
  </w:num>
  <w:num w:numId="5" w16cid:durableId="1869760051">
    <w:abstractNumId w:val="5"/>
  </w:num>
  <w:num w:numId="6" w16cid:durableId="2123113045">
    <w:abstractNumId w:val="4"/>
  </w:num>
  <w:num w:numId="7" w16cid:durableId="1278946717">
    <w:abstractNumId w:val="1"/>
  </w:num>
  <w:num w:numId="8" w16cid:durableId="1989163150">
    <w:abstractNumId w:val="1"/>
    <w:lvlOverride w:ilvl="0">
      <w:startOverride w:val="1"/>
      <w:lvl w:ilvl="0" w:tplc="6CB006E6">
        <w:start w:val="1"/>
        <w:numFmt w:val="lowerLetter"/>
        <w:suff w:val="nothing"/>
        <w:lvlText w:val="(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7C0EE8">
        <w:start w:val="1"/>
        <w:numFmt w:val="decimal"/>
        <w:lvlText w:val="%2."/>
        <w:lvlJc w:val="left"/>
        <w:pPr>
          <w:tabs>
            <w:tab w:val="left" w:pos="720"/>
            <w:tab w:val="num" w:pos="131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CEBAB6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num" w:pos="2115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6475A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915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D01944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715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C8532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515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C80B5B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315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266FE6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115"/>
            <w:tab w:val="left" w:pos="6480"/>
            <w:tab w:val="left" w:pos="7200"/>
            <w:tab w:val="left" w:pos="7920"/>
            <w:tab w:val="left" w:pos="8640"/>
          </w:tabs>
          <w:ind w:left="58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E4EA08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915"/>
            <w:tab w:val="left" w:pos="7200"/>
            <w:tab w:val="left" w:pos="7920"/>
            <w:tab w:val="left" w:pos="8640"/>
          </w:tabs>
          <w:ind w:left="6632" w:firstLine="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091777022">
    <w:abstractNumId w:val="0"/>
  </w:num>
  <w:num w:numId="10" w16cid:durableId="764879670">
    <w:abstractNumId w:val="8"/>
  </w:num>
  <w:num w:numId="11" w16cid:durableId="1178691427">
    <w:abstractNumId w:val="8"/>
    <w:lvlOverride w:ilvl="0">
      <w:startOverride w:val="2"/>
    </w:lvlOverride>
  </w:num>
  <w:num w:numId="12" w16cid:durableId="1403527985">
    <w:abstractNumId w:val="10"/>
  </w:num>
  <w:num w:numId="13" w16cid:durableId="1065909157">
    <w:abstractNumId w:val="14"/>
  </w:num>
  <w:num w:numId="14" w16cid:durableId="499274366">
    <w:abstractNumId w:val="12"/>
  </w:num>
  <w:num w:numId="15" w16cid:durableId="1931691500">
    <w:abstractNumId w:val="7"/>
  </w:num>
  <w:num w:numId="16" w16cid:durableId="566569902">
    <w:abstractNumId w:val="18"/>
  </w:num>
  <w:num w:numId="17" w16cid:durableId="1533611327">
    <w:abstractNumId w:val="15"/>
  </w:num>
  <w:num w:numId="18" w16cid:durableId="1832793151">
    <w:abstractNumId w:val="6"/>
  </w:num>
  <w:num w:numId="19" w16cid:durableId="950281980">
    <w:abstractNumId w:val="16"/>
  </w:num>
  <w:num w:numId="20" w16cid:durableId="1104111476">
    <w:abstractNumId w:val="11"/>
  </w:num>
  <w:num w:numId="21" w16cid:durableId="706830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5"/>
    <w:rsid w:val="00077EC7"/>
    <w:rsid w:val="0009285E"/>
    <w:rsid w:val="001A3C0C"/>
    <w:rsid w:val="001A6928"/>
    <w:rsid w:val="001B4291"/>
    <w:rsid w:val="00202EAA"/>
    <w:rsid w:val="004913D5"/>
    <w:rsid w:val="00757FE2"/>
    <w:rsid w:val="0083165C"/>
    <w:rsid w:val="008B15F7"/>
    <w:rsid w:val="009552EB"/>
    <w:rsid w:val="00966181"/>
    <w:rsid w:val="00A454B4"/>
    <w:rsid w:val="00B879DE"/>
    <w:rsid w:val="00CF6F83"/>
    <w:rsid w:val="00D9764F"/>
    <w:rsid w:val="00F170B3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F6691"/>
  <w15:chartTrackingRefBased/>
  <w15:docId w15:val="{0AC4E184-36A8-474F-853D-DE10CC50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AB5"/>
    <w:pPr>
      <w:spacing w:after="200" w:line="276" w:lineRule="auto"/>
    </w:p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84AB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F84AB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4"/>
    </w:rPr>
  </w:style>
  <w:style w:type="paragraph" w:styleId="Zaglavlje">
    <w:name w:val="header"/>
    <w:basedOn w:val="Normal"/>
    <w:link w:val="ZaglavljeChar"/>
    <w:rsid w:val="00F84A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F84AB5"/>
    <w:rPr>
      <w:rFonts w:ascii="Times New Roman" w:eastAsia="Times New Roman" w:hAnsi="Times New Roman" w:cs="Times New Roman"/>
      <w:sz w:val="24"/>
      <w:szCs w:val="24"/>
    </w:rPr>
  </w:style>
  <w:style w:type="table" w:styleId="Modernatablica">
    <w:name w:val="Table Contemporary"/>
    <w:basedOn w:val="Obinatablica"/>
    <w:uiPriority w:val="99"/>
    <w:rsid w:val="00F84AB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link w:val="OdlomakpopisaChar"/>
    <w:uiPriority w:val="99"/>
    <w:qFormat/>
    <w:rsid w:val="00F84AB5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F8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4AB5"/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F84AB5"/>
  </w:style>
  <w:style w:type="table" w:styleId="Svijetlipopis-Isticanje5">
    <w:name w:val="Light List Accent 5"/>
    <w:basedOn w:val="Obinatablica"/>
    <w:uiPriority w:val="61"/>
    <w:rsid w:val="00F8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styleId="Hiperveza">
    <w:name w:val="Hyperlink"/>
    <w:rsid w:val="00F84AB5"/>
    <w:rPr>
      <w:rFonts w:ascii="Trebuchet MS" w:hAnsi="Trebuchet MS"/>
      <w:color w:val="0000FF"/>
      <w:sz w:val="20"/>
      <w:u w:val="single"/>
    </w:rPr>
  </w:style>
  <w:style w:type="paragraph" w:customStyle="1" w:styleId="NoSpacing1">
    <w:name w:val="No Spacing1"/>
    <w:uiPriority w:val="1"/>
    <w:qFormat/>
    <w:rsid w:val="00F8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">
    <w:name w:val="st"/>
    <w:basedOn w:val="Zadanifontodlomka"/>
    <w:rsid w:val="00F84AB5"/>
  </w:style>
  <w:style w:type="paragraph" w:customStyle="1" w:styleId="Default">
    <w:name w:val="Default"/>
    <w:rsid w:val="00F84A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basedOn w:val="Normal"/>
    <w:uiPriority w:val="99"/>
    <w:semiHidden/>
    <w:unhideWhenUsed/>
    <w:rsid w:val="001A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umbered">
    <w:name w:val="Numbered"/>
    <w:rsid w:val="00077EC7"/>
    <w:pPr>
      <w:numPr>
        <w:numId w:val="6"/>
      </w:numPr>
    </w:pPr>
  </w:style>
  <w:style w:type="numbering" w:customStyle="1" w:styleId="ImportedStyle5">
    <w:name w:val="Imported Style 5"/>
    <w:rsid w:val="00077EC7"/>
    <w:pPr>
      <w:numPr>
        <w:numId w:val="9"/>
      </w:numPr>
    </w:pPr>
  </w:style>
  <w:style w:type="numbering" w:customStyle="1" w:styleId="Numbered0">
    <w:name w:val="Numbered.0"/>
    <w:rsid w:val="0009285E"/>
    <w:pPr>
      <w:numPr>
        <w:numId w:val="12"/>
      </w:numPr>
    </w:pPr>
  </w:style>
  <w:style w:type="paragraph" w:customStyle="1" w:styleId="box455020">
    <w:name w:val="box_455020"/>
    <w:basedOn w:val="Normal"/>
    <w:rsid w:val="001A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2022-06-23T11:30:00Z</dcterms:created>
  <dcterms:modified xsi:type="dcterms:W3CDTF">2022-06-24T07:45:00Z</dcterms:modified>
</cp:coreProperties>
</file>