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C364" w14:textId="77777777" w:rsidR="00847082" w:rsidRPr="007070FE" w:rsidRDefault="00847082" w:rsidP="00847082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7070FE">
        <w:rPr>
          <w:rFonts w:ascii="Book Antiqua" w:eastAsia="Times New Roman" w:hAnsi="Book Antiqua" w:cs="Times New Roman"/>
          <w:lang w:eastAsia="hr-HR"/>
        </w:rPr>
        <w:t xml:space="preserve">        </w:t>
      </w:r>
      <w:r w:rsidRPr="007070FE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3CAAF086" wp14:editId="04DA1861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B4F5" w14:textId="77777777" w:rsidR="00847082" w:rsidRPr="007070FE" w:rsidRDefault="00847082" w:rsidP="00847082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7070FE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45230ED8" w14:textId="77777777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7070FE">
        <w:rPr>
          <w:rFonts w:ascii="Book Antiqua" w:eastAsiaTheme="minorEastAsia" w:hAnsi="Book Antiqua"/>
          <w:lang w:eastAsia="hr-HR"/>
        </w:rPr>
        <w:t>VUKOVARSKO-SRIJEMSKA ŽUPANIJA</w:t>
      </w:r>
    </w:p>
    <w:p w14:paraId="6CFD4769" w14:textId="77777777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7070FE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3DE5F098" wp14:editId="394BC944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70FE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B750B93" wp14:editId="4449C006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0FE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4BA98A45" w14:textId="77777777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7070FE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422A4E1C" w14:textId="77777777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6C03683A" w14:textId="77777777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9C27407" w14:textId="77777777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13EA0D3B" w14:textId="77777777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7070FE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150A5E5D" w14:textId="77777777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49D2C5AA" w14:textId="77777777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5F5E738" w14:textId="39161B06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7070FE">
        <w:rPr>
          <w:rFonts w:ascii="Book Antiqua" w:eastAsiaTheme="minorEastAsia" w:hAnsi="Book Antiqua"/>
          <w:lang w:eastAsia="hr-HR"/>
        </w:rPr>
        <w:t>KLASA: 024-03/22-01/38</w:t>
      </w:r>
    </w:p>
    <w:p w14:paraId="35B42EBA" w14:textId="77777777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7070FE">
        <w:rPr>
          <w:rFonts w:ascii="Book Antiqua" w:eastAsiaTheme="minorEastAsia" w:hAnsi="Book Antiqua"/>
          <w:lang w:eastAsia="hr-HR"/>
        </w:rPr>
        <w:t>URBROJ: 2196-28-02-22-1</w:t>
      </w:r>
    </w:p>
    <w:p w14:paraId="5C71782D" w14:textId="77777777" w:rsidR="00847082" w:rsidRPr="007070FE" w:rsidRDefault="00847082" w:rsidP="00847082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7070FE">
        <w:rPr>
          <w:rFonts w:ascii="Book Antiqua" w:eastAsiaTheme="minorEastAsia" w:hAnsi="Book Antiqua"/>
          <w:lang w:eastAsia="hr-HR"/>
        </w:rPr>
        <w:t xml:space="preserve">Tovarnik, 31.05.2022. </w:t>
      </w:r>
    </w:p>
    <w:p w14:paraId="081C31B0" w14:textId="77777777" w:rsidR="00847082" w:rsidRPr="007070FE" w:rsidRDefault="00847082" w:rsidP="008470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05019C8B" w14:textId="7C342E0A" w:rsidR="00847082" w:rsidRPr="007070FE" w:rsidRDefault="00847082" w:rsidP="00847082">
      <w:pPr>
        <w:spacing w:after="160" w:line="259" w:lineRule="auto"/>
        <w:jc w:val="both"/>
        <w:rPr>
          <w:rFonts w:ascii="Book Antiqua" w:hAnsi="Book Antiqua"/>
        </w:rPr>
      </w:pPr>
      <w:r w:rsidRPr="007070FE">
        <w:rPr>
          <w:rFonts w:ascii="Book Antiqua" w:hAnsi="Book Antiqua"/>
        </w:rPr>
        <w:t>Na temelju  članka 67. Zakona o komunalnom gospodarstvu („Narodne novine“, broj 68/18, 110/18 i 32/20 – pročišćeni tekst) i članka 31. Statuta Općine Tovarnik („Službeni vjesnik“ Vukovarsko-srijemske županije, broj 3/22), Općinsko vijeće Općine Tovarnik na 8. sjednici održanoj dana  31. 05. 2022. godine, donosi:</w:t>
      </w:r>
    </w:p>
    <w:p w14:paraId="29DF2B35" w14:textId="559F28C6" w:rsidR="00847082" w:rsidRPr="007070FE" w:rsidRDefault="00847082" w:rsidP="00847082">
      <w:pPr>
        <w:spacing w:after="160" w:line="259" w:lineRule="auto"/>
        <w:jc w:val="both"/>
        <w:rPr>
          <w:rFonts w:ascii="Book Antiqua" w:hAnsi="Book Antiqua"/>
        </w:rPr>
      </w:pPr>
      <w:r w:rsidRPr="007070FE">
        <w:rPr>
          <w:rFonts w:ascii="Book Antiqua" w:hAnsi="Book Antiqua"/>
          <w:b/>
          <w:bCs/>
        </w:rPr>
        <w:t>Odluku o</w:t>
      </w:r>
      <w:r w:rsidRPr="007070FE">
        <w:rPr>
          <w:rFonts w:ascii="Book Antiqua" w:hAnsi="Book Antiqua"/>
        </w:rPr>
        <w:t xml:space="preserve">  i</w:t>
      </w:r>
      <w:r w:rsidRPr="007070FE">
        <w:rPr>
          <w:rFonts w:ascii="Book Antiqua" w:hAnsi="Book Antiqua"/>
          <w:b/>
        </w:rPr>
        <w:t>zmjenama  i dopunama  Programa građenja komunalne infrastrukture za 2022. god.</w:t>
      </w:r>
    </w:p>
    <w:p w14:paraId="71895842" w14:textId="77777777" w:rsidR="00847082" w:rsidRPr="007070FE" w:rsidRDefault="00847082" w:rsidP="00847082">
      <w:pPr>
        <w:spacing w:after="160" w:line="259" w:lineRule="auto"/>
        <w:jc w:val="center"/>
        <w:rPr>
          <w:rFonts w:ascii="Book Antiqua" w:hAnsi="Book Antiqua"/>
          <w:bCs/>
        </w:rPr>
      </w:pPr>
      <w:r w:rsidRPr="007070FE">
        <w:rPr>
          <w:rFonts w:ascii="Book Antiqua" w:hAnsi="Book Antiqua"/>
          <w:bCs/>
        </w:rPr>
        <w:t>Članak 1.</w:t>
      </w:r>
    </w:p>
    <w:p w14:paraId="3D0BCB2C" w14:textId="6F1B0FA5" w:rsidR="00847082" w:rsidRPr="007070FE" w:rsidRDefault="00847082" w:rsidP="00847082">
      <w:pPr>
        <w:spacing w:after="160" w:line="259" w:lineRule="auto"/>
        <w:rPr>
          <w:rFonts w:ascii="Book Antiqua" w:hAnsi="Book Antiqua"/>
          <w:b/>
        </w:rPr>
      </w:pPr>
      <w:r w:rsidRPr="007070FE">
        <w:rPr>
          <w:rFonts w:ascii="Book Antiqua" w:hAnsi="Book Antiqua"/>
          <w:b/>
        </w:rPr>
        <w:t>Ovim se programom određuju:</w:t>
      </w:r>
    </w:p>
    <w:p w14:paraId="087E1FBE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1. građevine komunalne infrastrukture koje će se graditi radi uređenja neuređenih dijelova građevinskog područja</w:t>
      </w:r>
    </w:p>
    <w:p w14:paraId="69947DCF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2. građevine komunalne infrastrukture koje će se graditi u uređenim dijelovima građevinskog područja</w:t>
      </w:r>
    </w:p>
    <w:p w14:paraId="00AB5A7A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3. građevine komunalne infrastrukture koje će se graditi izvan građevinskog područja</w:t>
      </w:r>
    </w:p>
    <w:p w14:paraId="48BA997E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4. postojeće građevine komunalne infrastrukture koje će se rekonstruirati i način rekonstrukcije</w:t>
      </w:r>
    </w:p>
    <w:p w14:paraId="399F3FD5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5. građevine komunalne infrastrukture koje će se uklanjati</w:t>
      </w:r>
    </w:p>
    <w:p w14:paraId="2D609124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 xml:space="preserve">6. </w:t>
      </w:r>
      <w:bookmarkStart w:id="0" w:name="_Hlk90460778"/>
      <w:r w:rsidRPr="007070FE">
        <w:rPr>
          <w:rFonts w:ascii="Book Antiqua" w:eastAsia="Times New Roman" w:hAnsi="Book Antiqua" w:cs="Open Sans"/>
          <w:lang w:eastAsia="hr-HR"/>
        </w:rPr>
        <w:t xml:space="preserve">građevine za gospodarenje otpadom </w:t>
      </w:r>
      <w:bookmarkEnd w:id="0"/>
    </w:p>
    <w:p w14:paraId="6CACE5D8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</w:p>
    <w:p w14:paraId="3FFA9285" w14:textId="77777777" w:rsidR="00847082" w:rsidRPr="007070FE" w:rsidRDefault="00847082" w:rsidP="00847082">
      <w:pPr>
        <w:spacing w:after="135" w:line="240" w:lineRule="auto"/>
        <w:jc w:val="center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Članak 2.</w:t>
      </w:r>
    </w:p>
    <w:p w14:paraId="0AD3C652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Građevine Komunalna infrastruktura jesu:</w:t>
      </w:r>
    </w:p>
    <w:p w14:paraId="796BEEA2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1. nerazvrstane ceste</w:t>
      </w:r>
    </w:p>
    <w:p w14:paraId="3CAEBB8E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2. javne prometne površine na kojima nije dopušten promet motornih vozila</w:t>
      </w:r>
    </w:p>
    <w:p w14:paraId="165E166C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lastRenderedPageBreak/>
        <w:t>3. javna parkirališta</w:t>
      </w:r>
    </w:p>
    <w:p w14:paraId="328EECED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4. javne garaže</w:t>
      </w:r>
    </w:p>
    <w:p w14:paraId="302402B6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5. javne zelene površine</w:t>
      </w:r>
    </w:p>
    <w:p w14:paraId="7088C5F3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6. građevine i uređaji javne namjene</w:t>
      </w:r>
    </w:p>
    <w:p w14:paraId="4A1EE035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7. javna rasvjeta</w:t>
      </w:r>
    </w:p>
    <w:p w14:paraId="1D8C1E82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8. groblja i krematoriji na grobljima</w:t>
      </w:r>
    </w:p>
    <w:p w14:paraId="237B1F1F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9. građevine namijenjene obavljanju javnog prijevoza.</w:t>
      </w:r>
    </w:p>
    <w:p w14:paraId="45659D16" w14:textId="77777777" w:rsidR="00847082" w:rsidRPr="007070FE" w:rsidRDefault="00847082" w:rsidP="00847082">
      <w:pPr>
        <w:spacing w:after="160" w:line="259" w:lineRule="auto"/>
        <w:rPr>
          <w:rFonts w:ascii="Book Antiqua" w:hAnsi="Book Antiqua"/>
        </w:rPr>
      </w:pPr>
    </w:p>
    <w:p w14:paraId="66483101" w14:textId="77777777" w:rsidR="00847082" w:rsidRPr="007070FE" w:rsidRDefault="00847082" w:rsidP="00847082">
      <w:pPr>
        <w:spacing w:after="160" w:line="259" w:lineRule="auto"/>
        <w:jc w:val="center"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Članak 3. </w:t>
      </w:r>
    </w:p>
    <w:p w14:paraId="7A8CCF4C" w14:textId="77777777" w:rsidR="00847082" w:rsidRPr="007070FE" w:rsidRDefault="00847082" w:rsidP="00847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 xml:space="preserve">građevine komunalne infrastrukture koje će se graditi radi uređenja neuređenih dijelova građevinskog područja sa procjenom troškova građenja i izvorima financiranja </w:t>
      </w:r>
    </w:p>
    <w:p w14:paraId="06F991F2" w14:textId="77777777" w:rsidR="00847082" w:rsidRPr="007070FE" w:rsidRDefault="00847082" w:rsidP="00847082">
      <w:pPr>
        <w:numPr>
          <w:ilvl w:val="0"/>
          <w:numId w:val="1"/>
        </w:numPr>
        <w:shd w:val="clear" w:color="auto" w:fill="FFFF00"/>
        <w:spacing w:after="160" w:line="259" w:lineRule="auto"/>
        <w:contextualSpacing/>
        <w:rPr>
          <w:rFonts w:ascii="Book Antiqua" w:hAnsi="Book Antiqua"/>
        </w:rPr>
      </w:pPr>
      <w:bookmarkStart w:id="1" w:name="_Hlk90465361"/>
      <w:r w:rsidRPr="007070FE">
        <w:rPr>
          <w:rFonts w:ascii="Book Antiqua" w:hAnsi="Book Antiqua"/>
        </w:rPr>
        <w:t xml:space="preserve">projektna dokumentacija za parkiralište na groblju </w:t>
      </w:r>
      <w:bookmarkEnd w:id="1"/>
      <w:r w:rsidRPr="007070FE">
        <w:rPr>
          <w:rFonts w:ascii="Book Antiqua" w:hAnsi="Book Antiqua"/>
        </w:rPr>
        <w:t xml:space="preserve">u </w:t>
      </w:r>
      <w:proofErr w:type="spellStart"/>
      <w:r w:rsidRPr="007070FE">
        <w:rPr>
          <w:rFonts w:ascii="Book Antiqua" w:hAnsi="Book Antiqua"/>
        </w:rPr>
        <w:t>Ilači</w:t>
      </w:r>
      <w:proofErr w:type="spellEnd"/>
      <w:r w:rsidRPr="007070FE">
        <w:rPr>
          <w:rFonts w:ascii="Book Antiqua" w:hAnsi="Book Antiqua"/>
        </w:rPr>
        <w:t xml:space="preserve"> </w:t>
      </w:r>
    </w:p>
    <w:p w14:paraId="2F60A3CB" w14:textId="77777777" w:rsidR="00847082" w:rsidRPr="007070FE" w:rsidRDefault="00847082" w:rsidP="00847082">
      <w:pPr>
        <w:numPr>
          <w:ilvl w:val="0"/>
          <w:numId w:val="3"/>
        </w:numPr>
        <w:spacing w:after="160" w:line="259" w:lineRule="auto"/>
        <w:contextualSpacing/>
        <w:rPr>
          <w:rFonts w:ascii="Book Antiqua" w:hAnsi="Book Antiqua"/>
        </w:rPr>
      </w:pPr>
      <w:bookmarkStart w:id="2" w:name="_Hlk90465364"/>
      <w:r w:rsidRPr="007070FE">
        <w:rPr>
          <w:rFonts w:ascii="Book Antiqua" w:hAnsi="Book Antiqua"/>
        </w:rPr>
        <w:t xml:space="preserve">procjena troškova građenja  : 50.000,00 kn </w:t>
      </w:r>
    </w:p>
    <w:bookmarkEnd w:id="2"/>
    <w:p w14:paraId="29786309" w14:textId="7D693901" w:rsidR="00847082" w:rsidRPr="007070FE" w:rsidRDefault="00847082" w:rsidP="00847082">
      <w:pPr>
        <w:numPr>
          <w:ilvl w:val="0"/>
          <w:numId w:val="3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izvori financiranja : </w:t>
      </w:r>
      <w:r w:rsidR="00A42A11" w:rsidRPr="007070FE">
        <w:rPr>
          <w:rFonts w:ascii="Book Antiqua" w:hAnsi="Book Antiqua"/>
        </w:rPr>
        <w:t>5</w:t>
      </w:r>
      <w:r w:rsidRPr="007070FE">
        <w:rPr>
          <w:rFonts w:ascii="Book Antiqua" w:hAnsi="Book Antiqua"/>
        </w:rPr>
        <w:t xml:space="preserve">1- </w:t>
      </w:r>
      <w:r w:rsidR="00A42A11" w:rsidRPr="007070FE">
        <w:rPr>
          <w:rFonts w:ascii="Book Antiqua" w:hAnsi="Book Antiqua"/>
        </w:rPr>
        <w:t xml:space="preserve">tekuće pomoći iz drugih proračuna </w:t>
      </w:r>
      <w:r w:rsidRPr="007070FE">
        <w:rPr>
          <w:rFonts w:ascii="Book Antiqua" w:hAnsi="Book Antiqua"/>
        </w:rPr>
        <w:t xml:space="preserve"> u iznosu od </w:t>
      </w:r>
      <w:r w:rsidR="00A42A11" w:rsidRPr="007070FE">
        <w:rPr>
          <w:rFonts w:ascii="Book Antiqua" w:hAnsi="Book Antiqua"/>
        </w:rPr>
        <w:t>7</w:t>
      </w:r>
      <w:r w:rsidRPr="007070FE">
        <w:rPr>
          <w:rFonts w:ascii="Book Antiqua" w:hAnsi="Book Antiqua"/>
        </w:rPr>
        <w:t>.</w:t>
      </w:r>
      <w:r w:rsidR="00A42A11" w:rsidRPr="007070FE">
        <w:rPr>
          <w:rFonts w:ascii="Book Antiqua" w:hAnsi="Book Antiqua"/>
        </w:rPr>
        <w:t>5</w:t>
      </w:r>
      <w:r w:rsidRPr="007070FE">
        <w:rPr>
          <w:rFonts w:ascii="Book Antiqua" w:hAnsi="Book Antiqua"/>
        </w:rPr>
        <w:t xml:space="preserve">00,00 kn </w:t>
      </w:r>
    </w:p>
    <w:p w14:paraId="48BCE90D" w14:textId="2AF85C6E" w:rsidR="00A42A11" w:rsidRPr="007070FE" w:rsidRDefault="00A42A11" w:rsidP="00A42A11">
      <w:pPr>
        <w:spacing w:after="160" w:line="259" w:lineRule="auto"/>
        <w:ind w:left="720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                                   52- kapitalne pomoći iz drugih proračuna u iznosu od 9.500,00 kn </w:t>
      </w:r>
    </w:p>
    <w:p w14:paraId="0A7C2445" w14:textId="77777777" w:rsidR="00847082" w:rsidRPr="007070FE" w:rsidRDefault="00847082" w:rsidP="00847082">
      <w:pPr>
        <w:spacing w:after="160" w:line="259" w:lineRule="auto"/>
        <w:ind w:left="720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                                   41- komunalna naknada i komunalni doprinos  u iznosu od  33.000,00  kn </w:t>
      </w:r>
    </w:p>
    <w:p w14:paraId="57880FEE" w14:textId="77777777" w:rsidR="00847082" w:rsidRPr="007070FE" w:rsidRDefault="00847082" w:rsidP="00847082">
      <w:pPr>
        <w:spacing w:after="160" w:line="259" w:lineRule="auto"/>
        <w:ind w:left="720"/>
        <w:contextualSpacing/>
        <w:rPr>
          <w:rFonts w:ascii="Book Antiqua" w:hAnsi="Book Antiqua"/>
        </w:rPr>
      </w:pPr>
    </w:p>
    <w:p w14:paraId="19D80564" w14:textId="77777777" w:rsidR="00847082" w:rsidRPr="007070FE" w:rsidRDefault="00847082" w:rsidP="00847082">
      <w:pPr>
        <w:shd w:val="clear" w:color="auto" w:fill="FFFF00"/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      2. projektna dokumentacija za parkiralište na groblju u Tovarniku</w:t>
      </w:r>
    </w:p>
    <w:p w14:paraId="0F537E56" w14:textId="77777777" w:rsidR="00847082" w:rsidRPr="007070FE" w:rsidRDefault="00847082" w:rsidP="00847082">
      <w:pPr>
        <w:spacing w:after="0" w:line="259" w:lineRule="auto"/>
        <w:ind w:left="360"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a) procjena troškova građenja  : 50.000,00 kn </w:t>
      </w:r>
    </w:p>
    <w:p w14:paraId="112254C7" w14:textId="467964B8" w:rsidR="00847082" w:rsidRPr="007070FE" w:rsidRDefault="00847082" w:rsidP="00847082">
      <w:pPr>
        <w:spacing w:after="0" w:line="259" w:lineRule="auto"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       b) izvori financiranja : </w:t>
      </w:r>
      <w:r w:rsidR="00A42A11" w:rsidRPr="007070FE">
        <w:rPr>
          <w:rFonts w:ascii="Book Antiqua" w:hAnsi="Book Antiqua"/>
        </w:rPr>
        <w:t>52</w:t>
      </w:r>
      <w:r w:rsidRPr="007070FE">
        <w:rPr>
          <w:rFonts w:ascii="Book Antiqua" w:hAnsi="Book Antiqua"/>
        </w:rPr>
        <w:t xml:space="preserve">- </w:t>
      </w:r>
      <w:r w:rsidR="00A42A11" w:rsidRPr="007070FE">
        <w:rPr>
          <w:rFonts w:ascii="Book Antiqua" w:hAnsi="Book Antiqua"/>
        </w:rPr>
        <w:t xml:space="preserve">kapitalne pomoći iz drugih proračuna u iznosu </w:t>
      </w:r>
      <w:r w:rsidRPr="007070FE">
        <w:rPr>
          <w:rFonts w:ascii="Book Antiqua" w:hAnsi="Book Antiqua"/>
        </w:rPr>
        <w:t xml:space="preserve">od 50.000,00 kn </w:t>
      </w:r>
    </w:p>
    <w:p w14:paraId="6D1B1E39" w14:textId="77777777" w:rsidR="00847082" w:rsidRPr="007070FE" w:rsidRDefault="00847082" w:rsidP="00847082">
      <w:pPr>
        <w:spacing w:after="160" w:line="259" w:lineRule="auto"/>
        <w:ind w:left="360"/>
        <w:rPr>
          <w:rFonts w:ascii="Book Antiqua" w:hAnsi="Book Antiqua"/>
        </w:rPr>
      </w:pPr>
    </w:p>
    <w:p w14:paraId="446358EF" w14:textId="77777777" w:rsidR="00847082" w:rsidRPr="007070FE" w:rsidRDefault="00847082" w:rsidP="00847082">
      <w:pPr>
        <w:numPr>
          <w:ilvl w:val="0"/>
          <w:numId w:val="5"/>
        </w:numPr>
        <w:shd w:val="clear" w:color="auto" w:fill="FFFF00"/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kupnja građevinskog zemljišta na groblju u </w:t>
      </w:r>
      <w:proofErr w:type="spellStart"/>
      <w:r w:rsidRPr="007070FE">
        <w:rPr>
          <w:rFonts w:ascii="Book Antiqua" w:hAnsi="Book Antiqua"/>
        </w:rPr>
        <w:t>Ilači</w:t>
      </w:r>
      <w:proofErr w:type="spellEnd"/>
      <w:r w:rsidRPr="007070FE">
        <w:rPr>
          <w:rFonts w:ascii="Book Antiqua" w:hAnsi="Book Antiqua"/>
        </w:rPr>
        <w:t xml:space="preserve"> za proširenje ceste </w:t>
      </w:r>
    </w:p>
    <w:p w14:paraId="325795C7" w14:textId="77777777" w:rsidR="00847082" w:rsidRPr="007070FE" w:rsidRDefault="00847082" w:rsidP="00847082">
      <w:pPr>
        <w:numPr>
          <w:ilvl w:val="0"/>
          <w:numId w:val="4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procjena troškova: 80.000,00 kn </w:t>
      </w:r>
    </w:p>
    <w:p w14:paraId="6519BBAC" w14:textId="669646F5" w:rsidR="00847082" w:rsidRPr="007070FE" w:rsidRDefault="00847082" w:rsidP="00847082">
      <w:pPr>
        <w:numPr>
          <w:ilvl w:val="0"/>
          <w:numId w:val="4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izvori financiranja: </w:t>
      </w:r>
      <w:r w:rsidR="00FB2D3B" w:rsidRPr="007070FE">
        <w:rPr>
          <w:rFonts w:ascii="Book Antiqua" w:hAnsi="Book Antiqua"/>
        </w:rPr>
        <w:t xml:space="preserve">51- tekuće pomoći iz drugih proračuna u </w:t>
      </w:r>
      <w:r w:rsidRPr="007070FE">
        <w:rPr>
          <w:rFonts w:ascii="Book Antiqua" w:hAnsi="Book Antiqua"/>
        </w:rPr>
        <w:t xml:space="preserve"> iznosu 80.000,00 kn </w:t>
      </w:r>
    </w:p>
    <w:p w14:paraId="2741A128" w14:textId="77777777" w:rsidR="00847082" w:rsidRPr="007070FE" w:rsidRDefault="00847082" w:rsidP="00847082">
      <w:pPr>
        <w:spacing w:after="160" w:line="259" w:lineRule="auto"/>
        <w:ind w:left="360"/>
        <w:rPr>
          <w:rFonts w:ascii="Book Antiqua" w:hAnsi="Book Antiqua"/>
        </w:rPr>
      </w:pPr>
    </w:p>
    <w:p w14:paraId="1BD0560C" w14:textId="77777777" w:rsidR="00847082" w:rsidRPr="007070FE" w:rsidRDefault="00847082" w:rsidP="00847082">
      <w:pPr>
        <w:numPr>
          <w:ilvl w:val="0"/>
          <w:numId w:val="5"/>
        </w:numPr>
        <w:shd w:val="clear" w:color="auto" w:fill="FFFF00"/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gradnja nogostupa u </w:t>
      </w:r>
      <w:proofErr w:type="spellStart"/>
      <w:r w:rsidRPr="007070FE">
        <w:rPr>
          <w:rFonts w:ascii="Book Antiqua" w:hAnsi="Book Antiqua"/>
        </w:rPr>
        <w:t>Ilači</w:t>
      </w:r>
      <w:proofErr w:type="spellEnd"/>
      <w:r w:rsidRPr="007070FE">
        <w:rPr>
          <w:rFonts w:ascii="Book Antiqua" w:hAnsi="Book Antiqua"/>
        </w:rPr>
        <w:t xml:space="preserve"> na groblju </w:t>
      </w:r>
    </w:p>
    <w:p w14:paraId="2281CE06" w14:textId="77777777" w:rsidR="00847082" w:rsidRPr="007070FE" w:rsidRDefault="00847082" w:rsidP="00847082">
      <w:pPr>
        <w:numPr>
          <w:ilvl w:val="1"/>
          <w:numId w:val="5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>procjena troškova građenja: 213.000,00 kn</w:t>
      </w:r>
    </w:p>
    <w:p w14:paraId="68C9707A" w14:textId="2987C40B" w:rsidR="00847082" w:rsidRPr="007070FE" w:rsidRDefault="00847082" w:rsidP="00847082">
      <w:pPr>
        <w:numPr>
          <w:ilvl w:val="1"/>
          <w:numId w:val="5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izvor financiranja: 54- </w:t>
      </w:r>
      <w:r w:rsidR="00FB2D3B" w:rsidRPr="007070FE">
        <w:rPr>
          <w:rFonts w:ascii="Book Antiqua" w:hAnsi="Book Antiqua"/>
        </w:rPr>
        <w:t xml:space="preserve">kapitalne </w:t>
      </w:r>
      <w:r w:rsidRPr="007070FE">
        <w:rPr>
          <w:rFonts w:ascii="Book Antiqua" w:hAnsi="Book Antiqua"/>
        </w:rPr>
        <w:t xml:space="preserve"> pomoći temeljem prijenosa EU sredstava u iznosu od 213.000,00 kn </w:t>
      </w:r>
    </w:p>
    <w:p w14:paraId="12ECF049" w14:textId="77777777" w:rsidR="00847082" w:rsidRPr="007070FE" w:rsidRDefault="00847082" w:rsidP="00847082">
      <w:pPr>
        <w:spacing w:after="160" w:line="259" w:lineRule="auto"/>
        <w:jc w:val="center"/>
        <w:rPr>
          <w:rFonts w:ascii="Book Antiqua" w:hAnsi="Book Antiqua"/>
          <w:b/>
          <w:bCs/>
        </w:rPr>
      </w:pPr>
    </w:p>
    <w:p w14:paraId="26CACC94" w14:textId="77777777" w:rsidR="00847082" w:rsidRPr="007070FE" w:rsidRDefault="00847082" w:rsidP="00847082">
      <w:pPr>
        <w:spacing w:after="160" w:line="259" w:lineRule="auto"/>
        <w:jc w:val="center"/>
        <w:rPr>
          <w:rFonts w:ascii="Book Antiqua" w:hAnsi="Book Antiqua"/>
        </w:rPr>
      </w:pPr>
      <w:r w:rsidRPr="007070FE">
        <w:rPr>
          <w:rFonts w:ascii="Book Antiqua" w:hAnsi="Book Antiqua"/>
        </w:rPr>
        <w:t>Članak 4.</w:t>
      </w:r>
    </w:p>
    <w:p w14:paraId="4D171C1D" w14:textId="77777777" w:rsidR="00847082" w:rsidRPr="007070FE" w:rsidRDefault="00847082" w:rsidP="00847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građevine komunalne infrastrukture koje će se graditi u uređenim dijelovima građevinskog područja sa procjenom troškova građenja i izvorima financiranja</w:t>
      </w:r>
    </w:p>
    <w:p w14:paraId="0A9E4FEB" w14:textId="77777777" w:rsidR="00847082" w:rsidRPr="007070FE" w:rsidRDefault="00847082" w:rsidP="00847082">
      <w:pPr>
        <w:spacing w:after="160" w:line="259" w:lineRule="auto"/>
        <w:rPr>
          <w:rFonts w:ascii="Book Antiqua" w:hAnsi="Book Antiqua"/>
        </w:rPr>
      </w:pPr>
    </w:p>
    <w:p w14:paraId="766C9381" w14:textId="77777777" w:rsidR="00847082" w:rsidRPr="007070FE" w:rsidRDefault="00847082" w:rsidP="00847082">
      <w:pPr>
        <w:numPr>
          <w:ilvl w:val="0"/>
          <w:numId w:val="2"/>
        </w:numPr>
        <w:shd w:val="clear" w:color="auto" w:fill="FFFF00"/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projektna dokumentacija uređenja ulica </w:t>
      </w:r>
    </w:p>
    <w:p w14:paraId="3E63B15A" w14:textId="77777777" w:rsidR="00847082" w:rsidRPr="007070FE" w:rsidRDefault="00847082" w:rsidP="00847082">
      <w:pPr>
        <w:numPr>
          <w:ilvl w:val="1"/>
          <w:numId w:val="2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procjena troškova građenja: 50.000,00 kn </w:t>
      </w:r>
    </w:p>
    <w:p w14:paraId="11979C58" w14:textId="2342A41A" w:rsidR="00847082" w:rsidRPr="007070FE" w:rsidRDefault="00847082" w:rsidP="00847082">
      <w:pPr>
        <w:numPr>
          <w:ilvl w:val="1"/>
          <w:numId w:val="2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izvori financiranja : </w:t>
      </w:r>
      <w:r w:rsidR="00FB2D3B" w:rsidRPr="007070FE">
        <w:rPr>
          <w:rFonts w:ascii="Book Antiqua" w:hAnsi="Book Antiqua"/>
        </w:rPr>
        <w:t>5</w:t>
      </w:r>
      <w:r w:rsidRPr="007070FE">
        <w:rPr>
          <w:rFonts w:ascii="Book Antiqua" w:hAnsi="Book Antiqua"/>
        </w:rPr>
        <w:t xml:space="preserve">1- </w:t>
      </w:r>
      <w:r w:rsidR="00FB2D3B" w:rsidRPr="007070FE">
        <w:rPr>
          <w:rFonts w:ascii="Book Antiqua" w:hAnsi="Book Antiqua"/>
        </w:rPr>
        <w:t xml:space="preserve">tekuće pomoći iz drugih proračuna </w:t>
      </w:r>
      <w:r w:rsidRPr="007070FE">
        <w:rPr>
          <w:rFonts w:ascii="Book Antiqua" w:hAnsi="Book Antiqua"/>
        </w:rPr>
        <w:t xml:space="preserve">u iznosu od 50.000,00 kn </w:t>
      </w:r>
    </w:p>
    <w:p w14:paraId="00559CDC" w14:textId="77777777" w:rsidR="00847082" w:rsidRPr="007070FE" w:rsidRDefault="00847082" w:rsidP="00847082">
      <w:pPr>
        <w:numPr>
          <w:ilvl w:val="0"/>
          <w:numId w:val="2"/>
        </w:numPr>
        <w:shd w:val="clear" w:color="auto" w:fill="FFFF00"/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projektna dokumentacija za dječje igralište u Tovarniku </w:t>
      </w:r>
    </w:p>
    <w:p w14:paraId="6F6F62EF" w14:textId="77777777" w:rsidR="00847082" w:rsidRPr="007070FE" w:rsidRDefault="00847082" w:rsidP="00847082">
      <w:pPr>
        <w:numPr>
          <w:ilvl w:val="1"/>
          <w:numId w:val="2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lastRenderedPageBreak/>
        <w:t>procjena troškova projektiranja: 10.000,00 kn</w:t>
      </w:r>
    </w:p>
    <w:p w14:paraId="1F3361D0" w14:textId="77777777" w:rsidR="00847082" w:rsidRPr="007070FE" w:rsidRDefault="00847082" w:rsidP="00847082">
      <w:pPr>
        <w:numPr>
          <w:ilvl w:val="1"/>
          <w:numId w:val="2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izvori financiranja: </w:t>
      </w:r>
    </w:p>
    <w:p w14:paraId="113C3B83" w14:textId="77777777" w:rsidR="00847082" w:rsidRPr="007070FE" w:rsidRDefault="00847082" w:rsidP="00847082">
      <w:pPr>
        <w:numPr>
          <w:ilvl w:val="2"/>
          <w:numId w:val="2"/>
        </w:numPr>
        <w:spacing w:after="160" w:line="259" w:lineRule="auto"/>
        <w:contextualSpacing/>
        <w:rPr>
          <w:rFonts w:ascii="Book Antiqua" w:hAnsi="Book Antiqua"/>
          <w:strike/>
        </w:rPr>
      </w:pPr>
      <w:bookmarkStart w:id="3" w:name="_Hlk90901657"/>
      <w:r w:rsidRPr="007070FE">
        <w:rPr>
          <w:rFonts w:ascii="Book Antiqua" w:hAnsi="Book Antiqua"/>
        </w:rPr>
        <w:t>4</w:t>
      </w:r>
      <w:bookmarkEnd w:id="3"/>
      <w:r w:rsidRPr="007070FE">
        <w:rPr>
          <w:rFonts w:ascii="Book Antiqua" w:hAnsi="Book Antiqua"/>
        </w:rPr>
        <w:t xml:space="preserve">1- komunalna naknada i komunalni doprinos  u iznosu od  10.000,00 kn </w:t>
      </w:r>
    </w:p>
    <w:p w14:paraId="4EC3C6FD" w14:textId="77777777" w:rsidR="00847082" w:rsidRPr="007070FE" w:rsidRDefault="00847082" w:rsidP="00847082">
      <w:pPr>
        <w:numPr>
          <w:ilvl w:val="0"/>
          <w:numId w:val="2"/>
        </w:numPr>
        <w:shd w:val="clear" w:color="auto" w:fill="FFFF00"/>
        <w:spacing w:after="160" w:line="259" w:lineRule="auto"/>
        <w:contextualSpacing/>
        <w:rPr>
          <w:rFonts w:ascii="Book Antiqua" w:hAnsi="Book Antiqua"/>
          <w:highlight w:val="yellow"/>
        </w:rPr>
      </w:pPr>
      <w:r w:rsidRPr="007070FE">
        <w:rPr>
          <w:rFonts w:ascii="Book Antiqua" w:hAnsi="Book Antiqua"/>
          <w:highlight w:val="yellow"/>
        </w:rPr>
        <w:t xml:space="preserve">Gradnja nogostupa </w:t>
      </w:r>
    </w:p>
    <w:p w14:paraId="47B5ACCE" w14:textId="77777777" w:rsidR="00847082" w:rsidRPr="007070FE" w:rsidRDefault="00847082" w:rsidP="00847082">
      <w:pPr>
        <w:numPr>
          <w:ilvl w:val="1"/>
          <w:numId w:val="2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>Procjena troškova građenja: 100.000,00 kn</w:t>
      </w:r>
    </w:p>
    <w:p w14:paraId="1FB32CF6" w14:textId="77777777" w:rsidR="00847082" w:rsidRPr="007070FE" w:rsidRDefault="00847082" w:rsidP="00847082">
      <w:pPr>
        <w:numPr>
          <w:ilvl w:val="2"/>
          <w:numId w:val="2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Izvori financiranja: 44-naknada za eksploataciju mineralnih sirovina u iznosu od 97.050,00  kn </w:t>
      </w:r>
    </w:p>
    <w:p w14:paraId="37D08FD7" w14:textId="77777777" w:rsidR="00847082" w:rsidRPr="007070FE" w:rsidRDefault="00847082" w:rsidP="00847082">
      <w:pPr>
        <w:numPr>
          <w:ilvl w:val="2"/>
          <w:numId w:val="2"/>
        </w:numPr>
        <w:spacing w:after="160" w:line="259" w:lineRule="auto"/>
        <w:contextualSpacing/>
        <w:rPr>
          <w:rFonts w:ascii="Book Antiqua" w:hAnsi="Book Antiqua"/>
        </w:rPr>
      </w:pPr>
      <w:r w:rsidRPr="007070FE">
        <w:rPr>
          <w:rFonts w:ascii="Book Antiqua" w:hAnsi="Book Antiqua"/>
        </w:rPr>
        <w:t>Izvori financiranja:  45- prihodi za posebne namjene ( šumski doprinos, prihod od legalizacije ) u iznosu od  2.950,00 kn</w:t>
      </w:r>
    </w:p>
    <w:p w14:paraId="572B06F7" w14:textId="77777777" w:rsidR="00847082" w:rsidRPr="007070FE" w:rsidRDefault="00847082" w:rsidP="00847082">
      <w:pPr>
        <w:spacing w:after="160" w:line="259" w:lineRule="auto"/>
        <w:jc w:val="center"/>
        <w:rPr>
          <w:rFonts w:ascii="Book Antiqua" w:hAnsi="Book Antiqua"/>
        </w:rPr>
      </w:pPr>
      <w:r w:rsidRPr="007070FE">
        <w:rPr>
          <w:rFonts w:ascii="Book Antiqua" w:hAnsi="Book Antiqua"/>
        </w:rPr>
        <w:t>Članak 5.</w:t>
      </w:r>
    </w:p>
    <w:p w14:paraId="28B72619" w14:textId="77777777" w:rsidR="00847082" w:rsidRPr="007070FE" w:rsidRDefault="00847082" w:rsidP="00847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60" w:line="259" w:lineRule="auto"/>
        <w:rPr>
          <w:rFonts w:ascii="Book Antiqua" w:hAnsi="Book Antiqua" w:cs="Open Sans"/>
        </w:rPr>
      </w:pPr>
      <w:r w:rsidRPr="007070FE">
        <w:rPr>
          <w:rFonts w:ascii="Book Antiqua" w:hAnsi="Book Antiqua" w:cs="Open Sans"/>
        </w:rPr>
        <w:t>građevine komunalne infrastrukture koje će se graditi izvan građevinskog područja</w:t>
      </w:r>
    </w:p>
    <w:p w14:paraId="153D43EF" w14:textId="77777777" w:rsidR="00847082" w:rsidRPr="007070FE" w:rsidRDefault="00847082" w:rsidP="00847082">
      <w:pPr>
        <w:spacing w:after="160" w:line="259" w:lineRule="auto"/>
        <w:rPr>
          <w:rFonts w:ascii="Book Antiqua" w:hAnsi="Book Antiqua" w:cs="Open Sans"/>
        </w:rPr>
      </w:pPr>
      <w:r w:rsidRPr="007070FE">
        <w:rPr>
          <w:rFonts w:ascii="Book Antiqua" w:hAnsi="Book Antiqua" w:cs="Open Sans"/>
        </w:rPr>
        <w:t xml:space="preserve">U 2022. god. nisu predviđene građevine komunalne infrastrukture  koje će se graditi izvan granica građevinskog područja </w:t>
      </w:r>
    </w:p>
    <w:p w14:paraId="6A63D9CD" w14:textId="77777777" w:rsidR="00847082" w:rsidRPr="007070FE" w:rsidRDefault="00847082" w:rsidP="00847082">
      <w:pPr>
        <w:spacing w:after="160" w:line="259" w:lineRule="auto"/>
        <w:rPr>
          <w:rFonts w:ascii="Book Antiqua" w:hAnsi="Book Antiqua" w:cs="Open Sans"/>
        </w:rPr>
      </w:pPr>
    </w:p>
    <w:p w14:paraId="13A76D3C" w14:textId="77777777" w:rsidR="00847082" w:rsidRPr="007070FE" w:rsidRDefault="00847082" w:rsidP="00847082">
      <w:pPr>
        <w:spacing w:after="160" w:line="259" w:lineRule="auto"/>
        <w:jc w:val="center"/>
        <w:rPr>
          <w:rFonts w:ascii="Book Antiqua" w:hAnsi="Book Antiqua" w:cs="Open Sans"/>
        </w:rPr>
      </w:pPr>
      <w:r w:rsidRPr="007070FE">
        <w:rPr>
          <w:rFonts w:ascii="Book Antiqua" w:hAnsi="Book Antiqua" w:cs="Open Sans"/>
        </w:rPr>
        <w:t>Članak 6.</w:t>
      </w:r>
    </w:p>
    <w:p w14:paraId="19164F85" w14:textId="77777777" w:rsidR="00847082" w:rsidRPr="007070FE" w:rsidRDefault="00847082" w:rsidP="00847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postojeće građevine komunalne infrastrukture koje će se rekonstruirati i način rekonstrukcije</w:t>
      </w:r>
    </w:p>
    <w:p w14:paraId="07F5680D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</w:p>
    <w:p w14:paraId="6CA5802E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sz w:val="24"/>
          <w:szCs w:val="24"/>
          <w:lang w:eastAsia="hr-HR"/>
        </w:rPr>
        <w:t xml:space="preserve">U 2022. god. nisu predviđene građevine komunalne infrastrukture  koje će se rekonstruirati. </w:t>
      </w:r>
    </w:p>
    <w:p w14:paraId="24334D2A" w14:textId="77777777" w:rsidR="00847082" w:rsidRPr="007070FE" w:rsidRDefault="00847082" w:rsidP="00847082">
      <w:pPr>
        <w:spacing w:after="135" w:line="240" w:lineRule="auto"/>
        <w:jc w:val="center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Članak 7.</w:t>
      </w:r>
    </w:p>
    <w:p w14:paraId="5F23FFD3" w14:textId="77777777" w:rsidR="00847082" w:rsidRPr="007070FE" w:rsidRDefault="00847082" w:rsidP="00847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>građevine komunalne infrastrukture koje će se uklanjati</w:t>
      </w:r>
    </w:p>
    <w:p w14:paraId="031A2B01" w14:textId="77777777" w:rsidR="00847082" w:rsidRPr="007070FE" w:rsidRDefault="00847082" w:rsidP="00847082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</w:p>
    <w:p w14:paraId="2F91C82D" w14:textId="0CACD252" w:rsidR="00847082" w:rsidRPr="007070FE" w:rsidRDefault="00847082" w:rsidP="007070FE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7070FE">
        <w:rPr>
          <w:rFonts w:ascii="Book Antiqua" w:eastAsia="Times New Roman" w:hAnsi="Book Antiqua" w:cs="Open Sans"/>
          <w:lang w:eastAsia="hr-HR"/>
        </w:rPr>
        <w:t xml:space="preserve">U 2022. godini nije predviđeno uklanjanje građevina komunalne infrastrukture </w:t>
      </w:r>
    </w:p>
    <w:p w14:paraId="06B9260A" w14:textId="77777777" w:rsidR="00847082" w:rsidRPr="007070FE" w:rsidRDefault="00847082" w:rsidP="00847082">
      <w:pPr>
        <w:spacing w:after="160" w:line="259" w:lineRule="auto"/>
        <w:jc w:val="center"/>
        <w:rPr>
          <w:rFonts w:ascii="Book Antiqua" w:hAnsi="Book Antiqua"/>
        </w:rPr>
      </w:pPr>
      <w:r w:rsidRPr="007070FE">
        <w:rPr>
          <w:rFonts w:ascii="Book Antiqua" w:hAnsi="Book Antiqua"/>
        </w:rPr>
        <w:t>Članak 8.</w:t>
      </w:r>
    </w:p>
    <w:p w14:paraId="07F5103F" w14:textId="77777777" w:rsidR="00847082" w:rsidRPr="007070FE" w:rsidRDefault="00847082" w:rsidP="00847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60" w:line="259" w:lineRule="auto"/>
        <w:rPr>
          <w:rFonts w:ascii="Book Antiqua" w:hAnsi="Book Antiqua"/>
        </w:rPr>
      </w:pPr>
      <w:r w:rsidRPr="007070FE">
        <w:rPr>
          <w:rFonts w:ascii="Book Antiqua" w:hAnsi="Book Antiqua" w:cs="Open Sans"/>
        </w:rPr>
        <w:t xml:space="preserve">građevine za gospodarenje otpadom sukladno članku </w:t>
      </w:r>
    </w:p>
    <w:p w14:paraId="5F7D06B8" w14:textId="77777777" w:rsidR="00847082" w:rsidRPr="007070FE" w:rsidRDefault="00847082" w:rsidP="00847082">
      <w:pPr>
        <w:spacing w:after="160" w:line="259" w:lineRule="auto"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U 2022. god. nije predviđeno građenje građevina za gospodarenje otpadom. </w:t>
      </w:r>
    </w:p>
    <w:p w14:paraId="5A77A5C5" w14:textId="77777777" w:rsidR="00847082" w:rsidRPr="007070FE" w:rsidRDefault="00847082" w:rsidP="00847082">
      <w:pPr>
        <w:spacing w:after="160" w:line="259" w:lineRule="auto"/>
        <w:jc w:val="center"/>
        <w:rPr>
          <w:rFonts w:ascii="Book Antiqua" w:hAnsi="Book Antiqua"/>
        </w:rPr>
      </w:pPr>
      <w:r w:rsidRPr="007070FE">
        <w:rPr>
          <w:rFonts w:ascii="Book Antiqua" w:hAnsi="Book Antiqua"/>
        </w:rPr>
        <w:t>Članak 9.</w:t>
      </w:r>
    </w:p>
    <w:p w14:paraId="3B1F6A1B" w14:textId="77777777" w:rsidR="00847082" w:rsidRPr="007070FE" w:rsidRDefault="00847082" w:rsidP="00847082">
      <w:pPr>
        <w:spacing w:after="160" w:line="259" w:lineRule="auto"/>
        <w:rPr>
          <w:rFonts w:ascii="Book Antiqua" w:hAnsi="Book Antiqua"/>
          <w:b/>
          <w:bCs/>
        </w:rPr>
      </w:pPr>
      <w:r w:rsidRPr="007070FE">
        <w:rPr>
          <w:rFonts w:ascii="Book Antiqua" w:hAnsi="Book Antiqua"/>
          <w:b/>
          <w:bCs/>
        </w:rPr>
        <w:t>REKAPITULACIJA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70FE" w:rsidRPr="007070FE" w14:paraId="28196A32" w14:textId="77777777" w:rsidTr="00DD6829">
        <w:tc>
          <w:tcPr>
            <w:tcW w:w="2265" w:type="dxa"/>
            <w:shd w:val="clear" w:color="auto" w:fill="D9D9D9" w:themeFill="background1" w:themeFillShade="D9"/>
          </w:tcPr>
          <w:p w14:paraId="3F366B18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OPIS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5B75708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>IZNOS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592832F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>IZVOR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0BF5B2B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IZNOS </w:t>
            </w:r>
          </w:p>
        </w:tc>
      </w:tr>
      <w:tr w:rsidR="007070FE" w:rsidRPr="007070FE" w14:paraId="6A2D9383" w14:textId="77777777" w:rsidTr="00DD6829">
        <w:trPr>
          <w:trHeight w:val="3078"/>
        </w:trPr>
        <w:tc>
          <w:tcPr>
            <w:tcW w:w="2265" w:type="dxa"/>
          </w:tcPr>
          <w:p w14:paraId="720BD761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lastRenderedPageBreak/>
              <w:t xml:space="preserve">građevine KI </w:t>
            </w:r>
            <w:r w:rsidRPr="007070FE">
              <w:rPr>
                <w:rFonts w:ascii="Book Antiqua" w:hAnsi="Book Antiqua" w:cs="Open Sans"/>
              </w:rPr>
              <w:t>koje će se graditi radi uređenja neuređenih dijelova građevinskog područja</w:t>
            </w:r>
          </w:p>
        </w:tc>
        <w:tc>
          <w:tcPr>
            <w:tcW w:w="2265" w:type="dxa"/>
          </w:tcPr>
          <w:p w14:paraId="4B528E90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393.000,00 kn </w:t>
            </w:r>
          </w:p>
        </w:tc>
        <w:tc>
          <w:tcPr>
            <w:tcW w:w="2266" w:type="dxa"/>
          </w:tcPr>
          <w:p w14:paraId="23807D8E" w14:textId="6A1D7012" w:rsidR="005D7AB1" w:rsidRPr="007070FE" w:rsidRDefault="005D7AB1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51- tekuće pomoći iz drugih proračuna  u iznosu </w:t>
            </w:r>
          </w:p>
          <w:p w14:paraId="06614E5D" w14:textId="5E0807DF" w:rsidR="005D7AB1" w:rsidRPr="007070FE" w:rsidRDefault="005D7AB1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7522D7CA" w14:textId="6847A6ED" w:rsidR="005D7AB1" w:rsidRPr="007070FE" w:rsidRDefault="005D7AB1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52-kapitalne pomoći iz drugih proračuna </w:t>
            </w:r>
          </w:p>
          <w:p w14:paraId="00BAACA7" w14:textId="77777777" w:rsidR="005D7AB1" w:rsidRPr="007070FE" w:rsidRDefault="005D7AB1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5FA0A87D" w14:textId="512DE8F1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41- komunalna naknada i komunalni doprinos  u iznosu od </w:t>
            </w:r>
          </w:p>
          <w:p w14:paraId="316CAE69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316BB44F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54- Tekuće pomoći temeljem prijenosa EU sredstava </w:t>
            </w:r>
          </w:p>
          <w:p w14:paraId="0BF0FD17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372A0C49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63261772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6" w:type="dxa"/>
          </w:tcPr>
          <w:p w14:paraId="475E62D4" w14:textId="739383DC" w:rsidR="00847082" w:rsidRPr="007070FE" w:rsidRDefault="005D7AB1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>87.500,00</w:t>
            </w:r>
          </w:p>
          <w:p w14:paraId="0B0246DF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7165830B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5E613960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4D7918A8" w14:textId="77C77595" w:rsidR="005D7AB1" w:rsidRPr="007070FE" w:rsidRDefault="005D7AB1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>59.500,00 kn</w:t>
            </w:r>
          </w:p>
          <w:p w14:paraId="3E69714C" w14:textId="77777777" w:rsidR="005D7AB1" w:rsidRPr="007070FE" w:rsidRDefault="005D7AB1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34EBC70B" w14:textId="77777777" w:rsidR="005D7AB1" w:rsidRPr="007070FE" w:rsidRDefault="005D7AB1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2E60C4E6" w14:textId="77777777" w:rsidR="005D7AB1" w:rsidRPr="007070FE" w:rsidRDefault="005D7AB1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52E305CB" w14:textId="543FCB22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33.000,00 kn </w:t>
            </w:r>
          </w:p>
          <w:p w14:paraId="6A62287E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52B84B41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032BE285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459DBCFE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4F682A5A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213.000,00 kn </w:t>
            </w:r>
          </w:p>
        </w:tc>
      </w:tr>
      <w:tr w:rsidR="007070FE" w:rsidRPr="007070FE" w14:paraId="5EC00BDC" w14:textId="77777777" w:rsidTr="00DD6829">
        <w:trPr>
          <w:trHeight w:val="6322"/>
        </w:trPr>
        <w:tc>
          <w:tcPr>
            <w:tcW w:w="2265" w:type="dxa"/>
          </w:tcPr>
          <w:p w14:paraId="7180FA1A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>građevine KI k</w:t>
            </w:r>
            <w:r w:rsidRPr="007070FE">
              <w:rPr>
                <w:rFonts w:ascii="Book Antiqua" w:hAnsi="Book Antiqua" w:cs="Open Sans"/>
              </w:rPr>
              <w:t>oje će se graditi u uređenim dijelovima građevinskog područja</w:t>
            </w:r>
          </w:p>
        </w:tc>
        <w:tc>
          <w:tcPr>
            <w:tcW w:w="2265" w:type="dxa"/>
          </w:tcPr>
          <w:p w14:paraId="7C07BEC3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160.000,00 kn  </w:t>
            </w:r>
          </w:p>
        </w:tc>
        <w:tc>
          <w:tcPr>
            <w:tcW w:w="2266" w:type="dxa"/>
          </w:tcPr>
          <w:p w14:paraId="746F3A53" w14:textId="77777777" w:rsidR="005D7AB1" w:rsidRPr="007070FE" w:rsidRDefault="005D7AB1" w:rsidP="005D7AB1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51- tekuće pomoći iz drugih proračuna  u iznosu </w:t>
            </w:r>
          </w:p>
          <w:p w14:paraId="197A57A4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0580F8C3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41- komunalna naknada i komunalni doprinos  u iznosu od </w:t>
            </w:r>
          </w:p>
          <w:p w14:paraId="3FD3FD93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42B3B4BD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03298351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6A9F66EE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003CB4A0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>44- naknada za eksploataciju mineralnih sirovina</w:t>
            </w:r>
          </w:p>
          <w:p w14:paraId="33EA016B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33452E8E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0017C6CC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45- prihodi za posebne namjene ( šumski doprinos, prihod od legalizacije ) </w:t>
            </w:r>
          </w:p>
        </w:tc>
        <w:tc>
          <w:tcPr>
            <w:tcW w:w="2266" w:type="dxa"/>
          </w:tcPr>
          <w:p w14:paraId="2B321EFB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 xml:space="preserve">50.000,00 kn </w:t>
            </w:r>
          </w:p>
          <w:p w14:paraId="3CDB56BB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459B195A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6A286E3B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2C19B3CA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>10.000,00 kn</w:t>
            </w:r>
          </w:p>
          <w:p w14:paraId="71130480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01A0A494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0AD681D5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623F8778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3A3CE9B0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4DDDD410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521D3C75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46A53BC1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>97.050,00  kn</w:t>
            </w:r>
          </w:p>
          <w:p w14:paraId="4BF2407E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27A0F266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647FF79D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1C4B2398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09A144BB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</w:p>
          <w:p w14:paraId="0AD66A7E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</w:rPr>
            </w:pPr>
            <w:r w:rsidRPr="007070FE">
              <w:rPr>
                <w:rFonts w:ascii="Book Antiqua" w:hAnsi="Book Antiqua"/>
              </w:rPr>
              <w:t>2.950,00 kn</w:t>
            </w:r>
          </w:p>
        </w:tc>
      </w:tr>
      <w:tr w:rsidR="007070FE" w:rsidRPr="007070FE" w14:paraId="370CC18D" w14:textId="77777777" w:rsidTr="00DD6829">
        <w:tc>
          <w:tcPr>
            <w:tcW w:w="2265" w:type="dxa"/>
            <w:shd w:val="clear" w:color="auto" w:fill="F2F2F2" w:themeFill="background1" w:themeFillShade="F2"/>
          </w:tcPr>
          <w:p w14:paraId="0893D795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7070FE">
              <w:rPr>
                <w:rFonts w:ascii="Book Antiqua" w:hAnsi="Book Antiqua"/>
                <w:b/>
                <w:bCs/>
              </w:rPr>
              <w:t xml:space="preserve">UKUPNO 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2AC22EBF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7070FE">
              <w:rPr>
                <w:rFonts w:ascii="Book Antiqua" w:hAnsi="Book Antiqua"/>
                <w:b/>
                <w:bCs/>
              </w:rPr>
              <w:t xml:space="preserve">553.000,00 KN 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6881107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5D0229DC" w14:textId="77777777" w:rsidR="00847082" w:rsidRPr="007070FE" w:rsidRDefault="00847082" w:rsidP="00847082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7070FE">
              <w:rPr>
                <w:rFonts w:ascii="Book Antiqua" w:hAnsi="Book Antiqua"/>
                <w:b/>
                <w:bCs/>
              </w:rPr>
              <w:t xml:space="preserve">553.000,00 </w:t>
            </w:r>
          </w:p>
        </w:tc>
      </w:tr>
    </w:tbl>
    <w:p w14:paraId="79DB42AE" w14:textId="77777777" w:rsidR="00847082" w:rsidRPr="007070FE" w:rsidRDefault="00847082" w:rsidP="007070FE">
      <w:pPr>
        <w:spacing w:after="160" w:line="259" w:lineRule="auto"/>
        <w:jc w:val="center"/>
        <w:rPr>
          <w:rFonts w:ascii="Book Antiqua" w:hAnsi="Book Antiqua"/>
        </w:rPr>
      </w:pPr>
      <w:r w:rsidRPr="007070FE">
        <w:rPr>
          <w:rFonts w:ascii="Book Antiqua" w:hAnsi="Book Antiqua"/>
        </w:rPr>
        <w:t>Članak 10.</w:t>
      </w:r>
    </w:p>
    <w:p w14:paraId="6B99FDE7" w14:textId="77777777" w:rsidR="00847082" w:rsidRPr="007070FE" w:rsidRDefault="00847082" w:rsidP="00847082">
      <w:pPr>
        <w:spacing w:after="160" w:line="259" w:lineRule="auto"/>
        <w:rPr>
          <w:rFonts w:ascii="Book Antiqua" w:hAnsi="Book Antiqua"/>
        </w:rPr>
      </w:pPr>
      <w:r w:rsidRPr="007070FE">
        <w:rPr>
          <w:rFonts w:ascii="Book Antiqua" w:hAnsi="Book Antiqua"/>
        </w:rPr>
        <w:t xml:space="preserve">Ovaj program stupa na snagu osmi dan od dana objave u „Službenom vjesniku“ Vukovarsko-srijemske županije. </w:t>
      </w:r>
    </w:p>
    <w:p w14:paraId="2E5C49A0" w14:textId="5F7B7E7B" w:rsidR="00847082" w:rsidRPr="007070FE" w:rsidRDefault="00847082" w:rsidP="007070FE">
      <w:pPr>
        <w:jc w:val="right"/>
        <w:rPr>
          <w:rFonts w:ascii="Book Antiqua" w:hAnsi="Book Antiqua"/>
        </w:rPr>
      </w:pPr>
      <w:r w:rsidRPr="007070FE">
        <w:rPr>
          <w:rFonts w:ascii="Book Antiqua" w:hAnsi="Book Antiqua"/>
        </w:rPr>
        <w:t>PREDSJEDNIK OPĆINSKOG VIJEĆA</w:t>
      </w:r>
    </w:p>
    <w:p w14:paraId="1FB02FF1" w14:textId="31D21781" w:rsidR="00847082" w:rsidRPr="007070FE" w:rsidRDefault="00847082" w:rsidP="00847082">
      <w:pPr>
        <w:jc w:val="right"/>
        <w:rPr>
          <w:rFonts w:ascii="Book Antiqua" w:hAnsi="Book Antiqua"/>
        </w:rPr>
      </w:pPr>
      <w:r w:rsidRPr="007070FE">
        <w:rPr>
          <w:rFonts w:ascii="Book Antiqua" w:hAnsi="Book Antiqua"/>
        </w:rPr>
        <w:t>Dubravko Blašković</w:t>
      </w:r>
    </w:p>
    <w:sectPr w:rsidR="00847082" w:rsidRPr="0070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2C0"/>
    <w:multiLevelType w:val="hybridMultilevel"/>
    <w:tmpl w:val="6DFA84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05E5"/>
    <w:multiLevelType w:val="hybridMultilevel"/>
    <w:tmpl w:val="970E5C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69E7"/>
    <w:multiLevelType w:val="hybridMultilevel"/>
    <w:tmpl w:val="BBB47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31B3"/>
    <w:multiLevelType w:val="hybridMultilevel"/>
    <w:tmpl w:val="C6FE890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F97"/>
    <w:multiLevelType w:val="hybridMultilevel"/>
    <w:tmpl w:val="FDE28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37493">
    <w:abstractNumId w:val="4"/>
  </w:num>
  <w:num w:numId="2" w16cid:durableId="643193078">
    <w:abstractNumId w:val="2"/>
  </w:num>
  <w:num w:numId="3" w16cid:durableId="495003196">
    <w:abstractNumId w:val="0"/>
  </w:num>
  <w:num w:numId="4" w16cid:durableId="67725904">
    <w:abstractNumId w:val="1"/>
  </w:num>
  <w:num w:numId="5" w16cid:durableId="1249727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82"/>
    <w:rsid w:val="005D7AB1"/>
    <w:rsid w:val="007070FE"/>
    <w:rsid w:val="00775603"/>
    <w:rsid w:val="00847082"/>
    <w:rsid w:val="00A42A11"/>
    <w:rsid w:val="00B81EFB"/>
    <w:rsid w:val="00C94A4B"/>
    <w:rsid w:val="00D14960"/>
    <w:rsid w:val="00F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F292"/>
  <w15:chartTrackingRefBased/>
  <w15:docId w15:val="{5B9421DA-E398-4BD0-AC0B-697A886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2022-06-14T08:45:00Z</dcterms:created>
  <dcterms:modified xsi:type="dcterms:W3CDTF">2022-06-14T10:07:00Z</dcterms:modified>
</cp:coreProperties>
</file>