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0E" w:rsidRPr="005254C9" w:rsidRDefault="00704B0E" w:rsidP="00704B0E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p w:rsidR="00704B0E" w:rsidRPr="0060301F" w:rsidRDefault="00704B0E" w:rsidP="00704B0E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2.POSEBNI DIO</w:t>
      </w:r>
      <w:r w:rsidRPr="00A251B9">
        <w:rPr>
          <w:rFonts w:ascii="Arial" w:hAnsi="Arial" w:cs="Arial"/>
          <w:b/>
          <w:sz w:val="24"/>
          <w:szCs w:val="24"/>
        </w:rPr>
        <w:tab/>
      </w:r>
    </w:p>
    <w:p w:rsidR="00704B0E" w:rsidRDefault="00704B0E" w:rsidP="00704B0E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704B0E" w:rsidRDefault="00704B0E" w:rsidP="00704B0E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704B0E" w:rsidRDefault="00704B0E" w:rsidP="00704B0E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704B0E" w:rsidRDefault="00704B0E" w:rsidP="00704B0E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704B0E" w:rsidRDefault="00704B0E" w:rsidP="00704B0E">
      <w:pPr>
        <w:tabs>
          <w:tab w:val="left" w:pos="3135"/>
        </w:tabs>
        <w:spacing w:after="0" w:line="240" w:lineRule="auto"/>
        <w:rPr>
          <w:rFonts w:ascii="Times New Roman" w:hAnsi="Times New Roman"/>
        </w:rPr>
      </w:pPr>
    </w:p>
    <w:p w:rsidR="00704B0E" w:rsidRDefault="00704B0E" w:rsidP="00704B0E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</w:rPr>
      </w:pPr>
    </w:p>
    <w:p w:rsidR="00704B0E" w:rsidRDefault="00704B0E" w:rsidP="00704B0E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  <w:r w:rsidRPr="003E3A93">
        <w:rPr>
          <w:rFonts w:ascii="Times New Roman" w:hAnsi="Times New Roman"/>
          <w:b/>
        </w:rPr>
        <w:t>Izvršenje po organizacijskoj klasifikaciji</w:t>
      </w:r>
    </w:p>
    <w:p w:rsidR="00704B0E" w:rsidRDefault="00704B0E" w:rsidP="00704B0E">
      <w:pPr>
        <w:tabs>
          <w:tab w:val="left" w:pos="3135"/>
        </w:tabs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490"/>
        <w:gridCol w:w="3154"/>
        <w:gridCol w:w="2552"/>
        <w:gridCol w:w="2551"/>
        <w:gridCol w:w="1701"/>
        <w:gridCol w:w="1701"/>
      </w:tblGrid>
      <w:tr w:rsidR="00704B0E" w:rsidRPr="0028740C" w:rsidTr="00E20DEF">
        <w:tc>
          <w:tcPr>
            <w:tcW w:w="1490" w:type="dxa"/>
          </w:tcPr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Račun/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Pozicija</w:t>
            </w:r>
          </w:p>
        </w:tc>
        <w:tc>
          <w:tcPr>
            <w:tcW w:w="3154" w:type="dxa"/>
          </w:tcPr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552" w:type="dxa"/>
          </w:tcPr>
          <w:p w:rsidR="00704B0E" w:rsidRPr="0028740C" w:rsidRDefault="00704B0E" w:rsidP="00AB58BC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izvorni plan 201</w:t>
            </w:r>
            <w:r w:rsidR="00AB58BC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2551" w:type="dxa"/>
          </w:tcPr>
          <w:p w:rsidR="00704B0E" w:rsidRPr="0028740C" w:rsidRDefault="00704B0E" w:rsidP="00AB58BC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Tekući plan  201</w:t>
            </w:r>
            <w:r w:rsidR="00AB58BC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704B0E" w:rsidRPr="0028740C" w:rsidRDefault="00704B0E" w:rsidP="00AB58BC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Izvršenje 201</w:t>
            </w:r>
            <w:r w:rsidR="00AB58BC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godine</w:t>
            </w:r>
          </w:p>
        </w:tc>
        <w:tc>
          <w:tcPr>
            <w:tcW w:w="1701" w:type="dxa"/>
          </w:tcPr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spacing w:before="88"/>
              <w:rPr>
                <w:rFonts w:ascii="Tahoma" w:hAnsi="Tahoma" w:cs="Tahoma"/>
                <w:color w:val="000000"/>
                <w:sz w:val="27"/>
                <w:szCs w:val="27"/>
              </w:rPr>
            </w:pPr>
            <w:r w:rsidRPr="0028740C">
              <w:rPr>
                <w:rFonts w:ascii="Tahoma" w:hAnsi="Tahoma" w:cs="Tahoma"/>
                <w:color w:val="000000"/>
                <w:sz w:val="20"/>
                <w:szCs w:val="20"/>
              </w:rPr>
              <w:t>Indeks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5/3</w:t>
            </w:r>
          </w:p>
        </w:tc>
      </w:tr>
      <w:tr w:rsidR="00704B0E" w:rsidRPr="0028740C" w:rsidTr="00E20DEF">
        <w:tc>
          <w:tcPr>
            <w:tcW w:w="1490" w:type="dxa"/>
          </w:tcPr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4" w:type="dxa"/>
          </w:tcPr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spacing w:before="49"/>
              <w:jc w:val="center"/>
              <w:rPr>
                <w:rFonts w:ascii="Tahoma" w:hAnsi="Tahoma" w:cs="Tahoma"/>
                <w:color w:val="000000"/>
                <w:sz w:val="25"/>
                <w:szCs w:val="25"/>
              </w:rPr>
            </w:pPr>
            <w:r w:rsidRPr="0028740C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704B0E" w:rsidRPr="0028740C" w:rsidTr="00E20DEF">
        <w:tc>
          <w:tcPr>
            <w:tcW w:w="1490" w:type="dxa"/>
          </w:tcPr>
          <w:p w:rsidR="00704B0E" w:rsidRDefault="00704B0E" w:rsidP="00E20DE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00101</w:t>
            </w:r>
          </w:p>
        </w:tc>
        <w:tc>
          <w:tcPr>
            <w:tcW w:w="3154" w:type="dxa"/>
          </w:tcPr>
          <w:p w:rsidR="00704B0E" w:rsidRPr="00F67975" w:rsidRDefault="00F67975" w:rsidP="00F6797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67975">
              <w:rPr>
                <w:rFonts w:ascii="Tahoma" w:hAnsi="Tahoma" w:cs="Tahoma"/>
                <w:b/>
                <w:sz w:val="20"/>
                <w:szCs w:val="20"/>
              </w:rPr>
              <w:t>TIJELA OPĆINE TOVARNIK</w:t>
            </w:r>
          </w:p>
        </w:tc>
        <w:tc>
          <w:tcPr>
            <w:tcW w:w="2552" w:type="dxa"/>
          </w:tcPr>
          <w:p w:rsidR="00704B0E" w:rsidRPr="0028740C" w:rsidRDefault="005D2B38" w:rsidP="005D2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173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994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08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04B0E" w:rsidRPr="0028740C" w:rsidRDefault="005D2B38" w:rsidP="005D2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173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994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08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04B0E" w:rsidRPr="0028740C" w:rsidRDefault="005D2B38" w:rsidP="005D2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091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522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04B0E" w:rsidRPr="0028740C" w:rsidRDefault="00704B0E" w:rsidP="005D2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  <w:r w:rsidR="005D2B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 w:rsidR="005D2B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0% </w:t>
            </w:r>
          </w:p>
        </w:tc>
      </w:tr>
      <w:tr w:rsidR="00704B0E" w:rsidRPr="0028740C" w:rsidTr="00E20DEF">
        <w:tc>
          <w:tcPr>
            <w:tcW w:w="1490" w:type="dxa"/>
          </w:tcPr>
          <w:p w:rsidR="00704B0E" w:rsidRDefault="00704B0E" w:rsidP="00E20DEF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</w:p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002</w:t>
            </w:r>
          </w:p>
        </w:tc>
        <w:tc>
          <w:tcPr>
            <w:tcW w:w="3154" w:type="dxa"/>
          </w:tcPr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PREDSTAVNIČKO TIJELO</w:t>
            </w:r>
          </w:p>
        </w:tc>
        <w:tc>
          <w:tcPr>
            <w:tcW w:w="2552" w:type="dxa"/>
          </w:tcPr>
          <w:p w:rsidR="00704B0E" w:rsidRPr="0028740C" w:rsidRDefault="005D2B38" w:rsidP="005D2B3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254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00,00  </w:t>
            </w:r>
          </w:p>
        </w:tc>
        <w:tc>
          <w:tcPr>
            <w:tcW w:w="2551" w:type="dxa"/>
          </w:tcPr>
          <w:p w:rsidR="00704B0E" w:rsidRPr="0028740C" w:rsidRDefault="005D2B38" w:rsidP="005D2B3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254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00,00 </w:t>
            </w:r>
          </w:p>
        </w:tc>
        <w:tc>
          <w:tcPr>
            <w:tcW w:w="1701" w:type="dxa"/>
          </w:tcPr>
          <w:p w:rsidR="00704B0E" w:rsidRPr="0028740C" w:rsidRDefault="005D2B38" w:rsidP="005D2B38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248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675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37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04B0E" w:rsidRPr="0028740C" w:rsidRDefault="00704B0E" w:rsidP="001C1234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  <w:r w:rsidR="001C12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 w:rsidR="001C12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90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%  </w:t>
            </w:r>
          </w:p>
        </w:tc>
      </w:tr>
      <w:tr w:rsidR="00704B0E" w:rsidRPr="0028740C" w:rsidTr="00E20DEF">
        <w:tc>
          <w:tcPr>
            <w:tcW w:w="1490" w:type="dxa"/>
          </w:tcPr>
          <w:p w:rsidR="00704B0E" w:rsidRDefault="00704B0E" w:rsidP="00E20DE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704B0E" w:rsidRPr="0028740C" w:rsidRDefault="00704B0E" w:rsidP="005D2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D2B38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154" w:type="dxa"/>
          </w:tcPr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DRUŠTVENE DJELATNOSTI</w:t>
            </w:r>
          </w:p>
        </w:tc>
        <w:tc>
          <w:tcPr>
            <w:tcW w:w="2552" w:type="dxa"/>
          </w:tcPr>
          <w:p w:rsidR="00704B0E" w:rsidRPr="0028740C" w:rsidRDefault="00704B0E" w:rsidP="001C12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</w:t>
            </w:r>
            <w:r w:rsidR="001C12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793</w:t>
            </w:r>
            <w:r w:rsidR="005D2B3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 w:rsidR="001C12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184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 w:rsidR="001C12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</w:tcPr>
          <w:p w:rsidR="00704B0E" w:rsidRPr="0028740C" w:rsidRDefault="00704B0E" w:rsidP="001C12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</w:t>
            </w:r>
            <w:r w:rsidR="001C12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793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 w:rsidR="001C12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184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 w:rsidR="001C12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63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04B0E" w:rsidRPr="0028740C" w:rsidRDefault="005D2B38" w:rsidP="001C12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 w:rsidR="001C12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557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 w:rsidR="001C12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268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 w:rsidR="001C123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12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04B0E" w:rsidRPr="0028740C" w:rsidRDefault="001C1234" w:rsidP="001C12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93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78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704B0E" w:rsidRPr="0028740C" w:rsidTr="00E20DEF">
        <w:tc>
          <w:tcPr>
            <w:tcW w:w="1490" w:type="dxa"/>
          </w:tcPr>
          <w:p w:rsidR="00704B0E" w:rsidRDefault="00704B0E" w:rsidP="00E20DEF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C1234" w:rsidRPr="001C1234" w:rsidRDefault="001C1234" w:rsidP="00E20DEF">
            <w:pPr>
              <w:widowControl w:val="0"/>
              <w:autoSpaceDE w:val="0"/>
              <w:autoSpaceDN w:val="0"/>
              <w:adjustRightInd w:val="0"/>
              <w:spacing w:before="45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3154" w:type="dxa"/>
          </w:tcPr>
          <w:p w:rsidR="00704B0E" w:rsidRPr="00A63688" w:rsidRDefault="00704B0E" w:rsidP="00E20D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KOMUNALNA </w:t>
            </w:r>
            <w:r w:rsidRPr="00A6368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 GOSPODARSKA DJELATNOST</w:t>
            </w:r>
          </w:p>
        </w:tc>
        <w:tc>
          <w:tcPr>
            <w:tcW w:w="2552" w:type="dxa"/>
          </w:tcPr>
          <w:p w:rsidR="00704B0E" w:rsidRPr="0028740C" w:rsidRDefault="007E116A" w:rsidP="007E116A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058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229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04B0E" w:rsidRPr="0028740C" w:rsidRDefault="007E116A" w:rsidP="007E116A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058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229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85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04B0E" w:rsidRPr="0028740C" w:rsidRDefault="007E116A" w:rsidP="007E116A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3.136.611,04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04B0E" w:rsidRPr="0028740C" w:rsidRDefault="007E116A" w:rsidP="007E116A">
            <w:pPr>
              <w:widowControl w:val="0"/>
              <w:autoSpaceDE w:val="0"/>
              <w:autoSpaceDN w:val="0"/>
              <w:adjustRightInd w:val="0"/>
              <w:spacing w:before="45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102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56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704B0E" w:rsidRPr="0028740C" w:rsidTr="00E20DEF">
        <w:tc>
          <w:tcPr>
            <w:tcW w:w="1490" w:type="dxa"/>
          </w:tcPr>
          <w:p w:rsidR="00704B0E" w:rsidRDefault="00704B0E" w:rsidP="00E20DE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2874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GLAVA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04B0E" w:rsidRPr="0028740C" w:rsidRDefault="00D53F70" w:rsidP="00E20DE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154" w:type="dxa"/>
          </w:tcPr>
          <w:p w:rsidR="00704B0E" w:rsidRPr="00A63688" w:rsidRDefault="00704B0E" w:rsidP="00E20D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GOSPODARSKA DJELATNOST</w:t>
            </w:r>
          </w:p>
        </w:tc>
        <w:tc>
          <w:tcPr>
            <w:tcW w:w="2552" w:type="dxa"/>
          </w:tcPr>
          <w:p w:rsidR="00704B0E" w:rsidRPr="0028740C" w:rsidRDefault="00D53F70" w:rsidP="00D53F70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792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684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04B0E" w:rsidRPr="0028740C" w:rsidRDefault="00D53F70" w:rsidP="00D53F70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792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684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11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04B0E" w:rsidRPr="0028740C" w:rsidRDefault="00D53F70" w:rsidP="00D53F70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770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577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04B0E" w:rsidRPr="0028740C" w:rsidRDefault="00704B0E" w:rsidP="00D53F70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</w:t>
            </w:r>
            <w:r w:rsidR="00D53F7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 w:rsidR="00D53F7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704B0E" w:rsidRPr="0028740C" w:rsidTr="00E20DEF">
        <w:tc>
          <w:tcPr>
            <w:tcW w:w="1490" w:type="dxa"/>
          </w:tcPr>
          <w:p w:rsidR="00704B0E" w:rsidRDefault="00704B0E" w:rsidP="00E20DE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704B0E" w:rsidRPr="00E012CD" w:rsidRDefault="00E012CD" w:rsidP="00E20DE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154" w:type="dxa"/>
          </w:tcPr>
          <w:p w:rsidR="00704B0E" w:rsidRPr="00A63688" w:rsidRDefault="00704B0E" w:rsidP="00E20D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SOCIJALNA SKRB</w:t>
            </w:r>
          </w:p>
        </w:tc>
        <w:tc>
          <w:tcPr>
            <w:tcW w:w="2552" w:type="dxa"/>
          </w:tcPr>
          <w:p w:rsidR="00704B0E" w:rsidRPr="0028740C" w:rsidRDefault="00E012CD" w:rsidP="00E012CD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1.939.735,51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04B0E" w:rsidRPr="0028740C" w:rsidRDefault="00E012CD" w:rsidP="00E012CD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1.939.735,51</w:t>
            </w:r>
          </w:p>
        </w:tc>
        <w:tc>
          <w:tcPr>
            <w:tcW w:w="1701" w:type="dxa"/>
          </w:tcPr>
          <w:p w:rsidR="00704B0E" w:rsidRPr="0028740C" w:rsidRDefault="00704B0E" w:rsidP="00E012CD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012CD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1.947.543,43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04B0E" w:rsidRPr="0028740C" w:rsidRDefault="00E012CD" w:rsidP="00E012CD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4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0% </w:t>
            </w:r>
          </w:p>
        </w:tc>
      </w:tr>
      <w:tr w:rsidR="00704B0E" w:rsidRPr="0028740C" w:rsidTr="00E20DEF">
        <w:tc>
          <w:tcPr>
            <w:tcW w:w="1490" w:type="dxa"/>
          </w:tcPr>
          <w:p w:rsidR="00704B0E" w:rsidRDefault="00704B0E" w:rsidP="00E20DE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RAZDJEL</w:t>
            </w:r>
          </w:p>
          <w:p w:rsidR="00704B0E" w:rsidRPr="00F67975" w:rsidRDefault="00F67975" w:rsidP="00E20DEF">
            <w:pPr>
              <w:widowControl w:val="0"/>
              <w:autoSpaceDE w:val="0"/>
              <w:autoSpaceDN w:val="0"/>
              <w:adjustRightInd w:val="0"/>
              <w:spacing w:before="31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154" w:type="dxa"/>
          </w:tcPr>
          <w:p w:rsidR="00704B0E" w:rsidRPr="00A63688" w:rsidRDefault="00704B0E" w:rsidP="00E20D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PREKOGRANIČNA SURADNJA</w:t>
            </w:r>
          </w:p>
        </w:tc>
        <w:tc>
          <w:tcPr>
            <w:tcW w:w="2552" w:type="dxa"/>
          </w:tcPr>
          <w:p w:rsidR="00704B0E" w:rsidRPr="0028740C" w:rsidRDefault="00F67975" w:rsidP="00F67975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366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347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16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04B0E" w:rsidRPr="0028740C" w:rsidRDefault="00F67975" w:rsidP="00F67975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366.347,16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04B0E" w:rsidRPr="0028740C" w:rsidRDefault="00704B0E" w:rsidP="00F67975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797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357.835,45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04B0E" w:rsidRPr="0028740C" w:rsidRDefault="00F67975" w:rsidP="00F67975">
            <w:pPr>
              <w:widowControl w:val="0"/>
              <w:autoSpaceDE w:val="0"/>
              <w:autoSpaceDN w:val="0"/>
              <w:adjustRightInd w:val="0"/>
              <w:spacing w:before="31"/>
              <w:jc w:val="right"/>
              <w:rPr>
                <w:rFonts w:ascii="Tahoma" w:hAnsi="Tahoma" w:cs="Tahom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97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68</w:t>
            </w:r>
            <w:r w:rsidR="00704B0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704B0E" w:rsidTr="00F67975">
        <w:trPr>
          <w:trHeight w:val="477"/>
        </w:trPr>
        <w:tc>
          <w:tcPr>
            <w:tcW w:w="1490" w:type="dxa"/>
          </w:tcPr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4" w:type="dxa"/>
          </w:tcPr>
          <w:p w:rsidR="00704B0E" w:rsidRPr="0028740C" w:rsidRDefault="00704B0E" w:rsidP="00E20DEF">
            <w:pPr>
              <w:widowControl w:val="0"/>
              <w:autoSpaceDE w:val="0"/>
              <w:autoSpaceDN w:val="0"/>
              <w:adjustRightInd w:val="0"/>
              <w:spacing w:before="75"/>
              <w:rPr>
                <w:rFonts w:ascii="Arial" w:hAnsi="Arial" w:cs="Arial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2552" w:type="dxa"/>
          </w:tcPr>
          <w:p w:rsidR="00704B0E" w:rsidRPr="0028740C" w:rsidRDefault="00F67975" w:rsidP="00E20DEF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13.378.175,32</w:t>
            </w:r>
          </w:p>
        </w:tc>
        <w:tc>
          <w:tcPr>
            <w:tcW w:w="2551" w:type="dxa"/>
          </w:tcPr>
          <w:p w:rsidR="00704B0E" w:rsidRPr="0028740C" w:rsidRDefault="00F67975" w:rsidP="00F67975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13.378.175,34</w:t>
            </w:r>
            <w:r w:rsidR="00704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4B0E" w:rsidRPr="0028740C" w:rsidRDefault="00F67975" w:rsidP="00F67975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704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</w:t>
            </w:r>
            <w:r w:rsidR="00704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033</w:t>
            </w:r>
            <w:r w:rsidR="00704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704B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04B0E" w:rsidRDefault="00704B0E" w:rsidP="00E20DEF">
            <w:pPr>
              <w:widowControl w:val="0"/>
              <w:autoSpaceDE w:val="0"/>
              <w:autoSpaceDN w:val="0"/>
              <w:adjustRightInd w:val="0"/>
              <w:spacing w:before="7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704B0E" w:rsidRDefault="00704B0E" w:rsidP="00704B0E">
      <w:pPr>
        <w:widowControl w:val="0"/>
        <w:tabs>
          <w:tab w:val="left" w:pos="1200"/>
          <w:tab w:val="right" w:pos="5807"/>
          <w:tab w:val="right" w:pos="7609"/>
          <w:tab w:val="right" w:pos="9422"/>
          <w:tab w:val="right" w:pos="10565"/>
        </w:tabs>
        <w:autoSpaceDE w:val="0"/>
        <w:autoSpaceDN w:val="0"/>
        <w:adjustRightInd w:val="0"/>
        <w:spacing w:before="7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704B0E" w:rsidRDefault="00704B0E" w:rsidP="00704B0E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Arial" w:hAnsi="Arial" w:cs="Arial"/>
          <w:sz w:val="24"/>
          <w:szCs w:val="24"/>
        </w:rPr>
        <w:sectPr w:rsidR="00704B0E" w:rsidSect="00E20D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04B0E" w:rsidRPr="004D1D45" w:rsidRDefault="00704B0E" w:rsidP="00704B0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3</w:t>
      </w:r>
      <w:r w:rsidRPr="004D1D45">
        <w:rPr>
          <w:b/>
          <w:bCs/>
          <w:color w:val="auto"/>
          <w:sz w:val="22"/>
          <w:szCs w:val="22"/>
        </w:rPr>
        <w:t xml:space="preserve">. IZVJEŠTAJ O KORIŠTENJU PRORAČUNSKE ZALIHE </w:t>
      </w:r>
    </w:p>
    <w:p w:rsidR="00704B0E" w:rsidRDefault="00704B0E" w:rsidP="00704B0E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U Proračunu Općine Tovarnik</w:t>
      </w:r>
      <w:r w:rsidRPr="004D1D45">
        <w:rPr>
          <w:color w:val="auto"/>
          <w:sz w:val="22"/>
          <w:szCs w:val="22"/>
        </w:rPr>
        <w:t xml:space="preserve"> za 201</w:t>
      </w:r>
      <w:r w:rsidR="00B81397">
        <w:rPr>
          <w:color w:val="auto"/>
          <w:sz w:val="22"/>
          <w:szCs w:val="22"/>
        </w:rPr>
        <w:t>8</w:t>
      </w:r>
      <w:r w:rsidRPr="004D1D45">
        <w:rPr>
          <w:color w:val="auto"/>
          <w:sz w:val="22"/>
          <w:szCs w:val="22"/>
        </w:rPr>
        <w:t>. g. nije planirana prorač</w:t>
      </w:r>
      <w:r>
        <w:rPr>
          <w:color w:val="auto"/>
          <w:sz w:val="22"/>
          <w:szCs w:val="22"/>
        </w:rPr>
        <w:t>unsku rezerva, te nije ni korištena.</w:t>
      </w:r>
    </w:p>
    <w:p w:rsidR="00704B0E" w:rsidRDefault="00704B0E" w:rsidP="00704B0E">
      <w:pPr>
        <w:pStyle w:val="Default"/>
        <w:jc w:val="both"/>
        <w:rPr>
          <w:color w:val="auto"/>
          <w:sz w:val="22"/>
          <w:szCs w:val="22"/>
        </w:rPr>
      </w:pPr>
    </w:p>
    <w:p w:rsidR="00704B0E" w:rsidRPr="004D1D45" w:rsidRDefault="00704B0E" w:rsidP="00704B0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</w:t>
      </w:r>
      <w:r w:rsidRPr="004D1D45">
        <w:rPr>
          <w:b/>
          <w:bCs/>
          <w:color w:val="auto"/>
          <w:sz w:val="22"/>
          <w:szCs w:val="22"/>
        </w:rPr>
        <w:t xml:space="preserve">. IZVJEŠTAJ O ZADUŽIVANJU NA DOMAĆEM I STRANOM TRŽIŠTU NOVCA I KAPITALA </w:t>
      </w:r>
    </w:p>
    <w:p w:rsidR="00704B0E" w:rsidRPr="004D1D45" w:rsidRDefault="00704B0E" w:rsidP="00704B0E">
      <w:pPr>
        <w:pStyle w:val="Default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 U periodu od 01. siječnja do 31.prosinca</w:t>
      </w:r>
      <w:r w:rsidRPr="004D1D45">
        <w:rPr>
          <w:color w:val="auto"/>
          <w:sz w:val="22"/>
          <w:szCs w:val="22"/>
        </w:rPr>
        <w:t xml:space="preserve"> 201</w:t>
      </w:r>
      <w:r w:rsidR="00B81397">
        <w:rPr>
          <w:color w:val="auto"/>
          <w:sz w:val="22"/>
          <w:szCs w:val="22"/>
        </w:rPr>
        <w:t>8</w:t>
      </w:r>
      <w:r w:rsidRPr="004D1D45">
        <w:rPr>
          <w:color w:val="auto"/>
          <w:sz w:val="22"/>
          <w:szCs w:val="22"/>
        </w:rPr>
        <w:t>. g. Općin</w:t>
      </w:r>
      <w:r>
        <w:rPr>
          <w:color w:val="auto"/>
          <w:sz w:val="22"/>
          <w:szCs w:val="22"/>
        </w:rPr>
        <w:t>a Tovarnik se nije zaduživala.</w:t>
      </w:r>
      <w:r w:rsidRPr="004D1D45">
        <w:rPr>
          <w:color w:val="auto"/>
          <w:sz w:val="22"/>
          <w:szCs w:val="22"/>
        </w:rPr>
        <w:t xml:space="preserve"> </w:t>
      </w:r>
    </w:p>
    <w:p w:rsidR="00704B0E" w:rsidRPr="004D1D45" w:rsidRDefault="00704B0E" w:rsidP="00704B0E">
      <w:pPr>
        <w:pStyle w:val="Default"/>
        <w:jc w:val="both"/>
        <w:rPr>
          <w:color w:val="auto"/>
          <w:sz w:val="22"/>
          <w:szCs w:val="22"/>
        </w:rPr>
      </w:pPr>
    </w:p>
    <w:p w:rsidR="00704B0E" w:rsidRPr="004D1D45" w:rsidRDefault="00704B0E" w:rsidP="00704B0E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5. IZVJEŠTAJ O DANIM JAMSTVIMA I IZDACIMA PO JAMSTVIMA </w:t>
      </w:r>
    </w:p>
    <w:p w:rsidR="00704B0E" w:rsidRPr="004D1D45" w:rsidRDefault="00704B0E" w:rsidP="00704B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Općina Tovarnik</w:t>
      </w:r>
      <w:r w:rsidRPr="004D1D45">
        <w:rPr>
          <w:color w:val="auto"/>
          <w:sz w:val="22"/>
          <w:szCs w:val="22"/>
        </w:rPr>
        <w:t xml:space="preserve">  nema danih jamstava niti izdataka po istim. </w:t>
      </w:r>
    </w:p>
    <w:p w:rsidR="00704B0E" w:rsidRPr="004D1D45" w:rsidRDefault="00704B0E" w:rsidP="00704B0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4B0E" w:rsidRPr="004D1D45" w:rsidRDefault="00704B0E" w:rsidP="00704B0E">
      <w:pPr>
        <w:pStyle w:val="Default"/>
        <w:jc w:val="both"/>
        <w:rPr>
          <w:color w:val="auto"/>
          <w:sz w:val="22"/>
          <w:szCs w:val="22"/>
        </w:rPr>
      </w:pPr>
      <w:r w:rsidRPr="004D1D45">
        <w:rPr>
          <w:b/>
          <w:bCs/>
          <w:color w:val="auto"/>
          <w:sz w:val="22"/>
          <w:szCs w:val="22"/>
        </w:rPr>
        <w:t xml:space="preserve">6. OBRAŽLOŽENJE OSTVARENIH PRIHODA I PRIMITKA, RASHODA I IZDATAKA </w:t>
      </w:r>
    </w:p>
    <w:p w:rsidR="00704B0E" w:rsidRPr="004D1D45" w:rsidRDefault="00704B0E" w:rsidP="00704B0E">
      <w:pPr>
        <w:pStyle w:val="Default"/>
        <w:jc w:val="both"/>
        <w:rPr>
          <w:color w:val="auto"/>
          <w:sz w:val="22"/>
          <w:szCs w:val="22"/>
        </w:rPr>
      </w:pPr>
    </w:p>
    <w:p w:rsidR="00704B0E" w:rsidRPr="004D1D45" w:rsidRDefault="00704B0E" w:rsidP="00704B0E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</w:t>
      </w:r>
      <w:r w:rsidRPr="004D1D45">
        <w:rPr>
          <w:color w:val="auto"/>
          <w:sz w:val="22"/>
          <w:szCs w:val="22"/>
        </w:rPr>
        <w:t>201</w:t>
      </w:r>
      <w:r w:rsidR="008C489D">
        <w:rPr>
          <w:color w:val="auto"/>
          <w:sz w:val="22"/>
          <w:szCs w:val="22"/>
        </w:rPr>
        <w:t>8</w:t>
      </w:r>
      <w:r w:rsidRPr="004D1D45">
        <w:rPr>
          <w:color w:val="auto"/>
          <w:sz w:val="22"/>
          <w:szCs w:val="22"/>
        </w:rPr>
        <w:t xml:space="preserve"> g</w:t>
      </w:r>
      <w:r>
        <w:rPr>
          <w:color w:val="auto"/>
          <w:sz w:val="22"/>
          <w:szCs w:val="22"/>
        </w:rPr>
        <w:t>odini</w:t>
      </w:r>
      <w:r w:rsidRPr="004D1D45">
        <w:rPr>
          <w:color w:val="auto"/>
          <w:sz w:val="22"/>
          <w:szCs w:val="22"/>
        </w:rPr>
        <w:t xml:space="preserve"> ukupni prihodi/primici os</w:t>
      </w:r>
      <w:r>
        <w:rPr>
          <w:color w:val="auto"/>
          <w:sz w:val="22"/>
          <w:szCs w:val="22"/>
        </w:rPr>
        <w:t>tvareni su u iznosu 1</w:t>
      </w:r>
      <w:r w:rsidR="008C489D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</w:t>
      </w:r>
      <w:r w:rsidR="008C489D">
        <w:rPr>
          <w:color w:val="auto"/>
          <w:sz w:val="22"/>
          <w:szCs w:val="22"/>
        </w:rPr>
        <w:t>351</w:t>
      </w:r>
      <w:r>
        <w:rPr>
          <w:color w:val="auto"/>
          <w:sz w:val="22"/>
          <w:szCs w:val="22"/>
        </w:rPr>
        <w:t>.</w:t>
      </w:r>
      <w:r w:rsidR="008C489D">
        <w:rPr>
          <w:color w:val="auto"/>
          <w:sz w:val="22"/>
          <w:szCs w:val="22"/>
        </w:rPr>
        <w:t>81</w:t>
      </w:r>
      <w:r w:rsidR="00420DDE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,</w:t>
      </w:r>
      <w:r w:rsidR="00420DDE">
        <w:rPr>
          <w:color w:val="auto"/>
          <w:sz w:val="22"/>
          <w:szCs w:val="22"/>
        </w:rPr>
        <w:t>29</w:t>
      </w:r>
      <w:r>
        <w:rPr>
          <w:color w:val="auto"/>
          <w:sz w:val="22"/>
          <w:szCs w:val="22"/>
        </w:rPr>
        <w:t xml:space="preserve"> kn, odnosno 1</w:t>
      </w:r>
      <w:r w:rsidR="00CD6358">
        <w:rPr>
          <w:color w:val="auto"/>
          <w:sz w:val="22"/>
          <w:szCs w:val="22"/>
        </w:rPr>
        <w:t>01</w:t>
      </w:r>
      <w:r>
        <w:rPr>
          <w:color w:val="auto"/>
          <w:sz w:val="22"/>
          <w:szCs w:val="22"/>
        </w:rPr>
        <w:t>,00</w:t>
      </w:r>
      <w:r w:rsidRPr="004D1D45">
        <w:rPr>
          <w:color w:val="auto"/>
          <w:sz w:val="22"/>
          <w:szCs w:val="22"/>
        </w:rPr>
        <w:t xml:space="preserve">% od plana. </w:t>
      </w:r>
    </w:p>
    <w:p w:rsidR="00704B0E" w:rsidRPr="004D1D45" w:rsidRDefault="00704B0E" w:rsidP="00704B0E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4D1D45">
        <w:rPr>
          <w:color w:val="auto"/>
          <w:sz w:val="22"/>
          <w:szCs w:val="22"/>
        </w:rPr>
        <w:t>Ukupni ra</w:t>
      </w:r>
      <w:r>
        <w:rPr>
          <w:color w:val="auto"/>
          <w:sz w:val="22"/>
          <w:szCs w:val="22"/>
        </w:rPr>
        <w:t>shodi/izdaci u 201</w:t>
      </w:r>
      <w:r w:rsidR="00264017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. godini</w:t>
      </w:r>
      <w:r w:rsidRPr="004D1D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</w:t>
      </w:r>
      <w:r w:rsidRPr="004D1D45">
        <w:rPr>
          <w:color w:val="auto"/>
          <w:sz w:val="22"/>
          <w:szCs w:val="22"/>
        </w:rPr>
        <w:t>znose</w:t>
      </w:r>
      <w:r>
        <w:rPr>
          <w:color w:val="auto"/>
          <w:sz w:val="22"/>
          <w:szCs w:val="22"/>
        </w:rPr>
        <w:t xml:space="preserve"> </w:t>
      </w:r>
      <w:r w:rsidR="00264017">
        <w:rPr>
          <w:color w:val="auto"/>
          <w:sz w:val="22"/>
          <w:szCs w:val="22"/>
        </w:rPr>
        <w:t>13</w:t>
      </w:r>
      <w:r>
        <w:rPr>
          <w:color w:val="auto"/>
          <w:sz w:val="22"/>
          <w:szCs w:val="22"/>
        </w:rPr>
        <w:t>.</w:t>
      </w:r>
      <w:r w:rsidR="00264017">
        <w:rPr>
          <w:color w:val="auto"/>
          <w:sz w:val="22"/>
          <w:szCs w:val="22"/>
        </w:rPr>
        <w:t>110</w:t>
      </w:r>
      <w:r>
        <w:rPr>
          <w:color w:val="auto"/>
          <w:sz w:val="22"/>
          <w:szCs w:val="22"/>
        </w:rPr>
        <w:t>.</w:t>
      </w:r>
      <w:r w:rsidR="00264017">
        <w:rPr>
          <w:color w:val="auto"/>
          <w:sz w:val="22"/>
          <w:szCs w:val="22"/>
        </w:rPr>
        <w:t>033</w:t>
      </w:r>
      <w:r>
        <w:rPr>
          <w:color w:val="auto"/>
          <w:sz w:val="22"/>
          <w:szCs w:val="22"/>
        </w:rPr>
        <w:t>,</w:t>
      </w:r>
      <w:r w:rsidR="00264017">
        <w:rPr>
          <w:color w:val="auto"/>
          <w:sz w:val="22"/>
          <w:szCs w:val="22"/>
        </w:rPr>
        <w:t>24</w:t>
      </w:r>
      <w:r>
        <w:rPr>
          <w:color w:val="auto"/>
          <w:sz w:val="22"/>
          <w:szCs w:val="22"/>
        </w:rPr>
        <w:t xml:space="preserve"> kn, odnosno 9</w:t>
      </w:r>
      <w:r w:rsidR="00264017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>,00%</w:t>
      </w:r>
      <w:r w:rsidRPr="004D1D45">
        <w:rPr>
          <w:color w:val="auto"/>
          <w:sz w:val="22"/>
          <w:szCs w:val="22"/>
        </w:rPr>
        <w:t xml:space="preserve"> %</w:t>
      </w:r>
      <w:r>
        <w:rPr>
          <w:color w:val="auto"/>
          <w:sz w:val="22"/>
          <w:szCs w:val="22"/>
        </w:rPr>
        <w:t xml:space="preserve"> od</w:t>
      </w:r>
      <w:r w:rsidRPr="004D1D45">
        <w:rPr>
          <w:color w:val="auto"/>
          <w:sz w:val="22"/>
          <w:szCs w:val="22"/>
        </w:rPr>
        <w:t xml:space="preserve"> plana. </w:t>
      </w:r>
    </w:p>
    <w:p w:rsidR="00704B0E" w:rsidRDefault="00704B0E" w:rsidP="00704B0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4D1D45">
        <w:rPr>
          <w:rFonts w:ascii="Times New Roman" w:hAnsi="Times New Roman"/>
        </w:rPr>
        <w:t>Razlika između ostvarenih prihoda/primitaka i rasho</w:t>
      </w:r>
      <w:r>
        <w:rPr>
          <w:rFonts w:ascii="Times New Roman" w:hAnsi="Times New Roman"/>
        </w:rPr>
        <w:t xml:space="preserve">da/izdataka u </w:t>
      </w:r>
      <w:r w:rsidRPr="004D1D45">
        <w:rPr>
          <w:rFonts w:ascii="Times New Roman" w:hAnsi="Times New Roman"/>
        </w:rPr>
        <w:t>201</w:t>
      </w:r>
      <w:r w:rsidR="00416353">
        <w:rPr>
          <w:rFonts w:ascii="Times New Roman" w:hAnsi="Times New Roman"/>
        </w:rPr>
        <w:t>8</w:t>
      </w:r>
      <w:r w:rsidRPr="004D1D45">
        <w:rPr>
          <w:rFonts w:ascii="Times New Roman" w:hAnsi="Times New Roman"/>
        </w:rPr>
        <w:t>. g. daje višak priho</w:t>
      </w:r>
      <w:r>
        <w:rPr>
          <w:rFonts w:ascii="Times New Roman" w:hAnsi="Times New Roman"/>
        </w:rPr>
        <w:t xml:space="preserve">da/primitaka u iznosu </w:t>
      </w:r>
      <w:r w:rsidR="00416353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416353">
        <w:rPr>
          <w:rFonts w:ascii="Times New Roman" w:hAnsi="Times New Roman"/>
        </w:rPr>
        <w:t>758</w:t>
      </w:r>
      <w:r>
        <w:rPr>
          <w:rFonts w:ascii="Times New Roman" w:hAnsi="Times New Roman"/>
        </w:rPr>
        <w:t>.</w:t>
      </w:r>
      <w:r w:rsidR="00416353">
        <w:rPr>
          <w:rFonts w:ascii="Times New Roman" w:hAnsi="Times New Roman"/>
        </w:rPr>
        <w:t>2</w:t>
      </w:r>
      <w:r w:rsidR="00420DDE">
        <w:rPr>
          <w:rFonts w:ascii="Times New Roman" w:hAnsi="Times New Roman"/>
        </w:rPr>
        <w:t>20</w:t>
      </w:r>
      <w:r>
        <w:rPr>
          <w:rFonts w:ascii="Times New Roman" w:hAnsi="Times New Roman"/>
        </w:rPr>
        <w:t>,</w:t>
      </w:r>
      <w:r w:rsidR="00420DDE">
        <w:rPr>
          <w:rFonts w:ascii="Times New Roman" w:hAnsi="Times New Roman"/>
        </w:rPr>
        <w:t>95</w:t>
      </w:r>
      <w:r>
        <w:rPr>
          <w:rFonts w:ascii="Times New Roman" w:hAnsi="Times New Roman"/>
        </w:rPr>
        <w:t xml:space="preserve"> kn.</w:t>
      </w:r>
    </w:p>
    <w:p w:rsidR="00420DDE" w:rsidRPr="00FD45F8" w:rsidRDefault="00420DDE" w:rsidP="00420DD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rFonts w:ascii="Times New Roman" w:hAnsi="Times New Roman"/>
        </w:rPr>
        <w:t>Ukupno ostvareni prihodi u 2018. iznose 11.351.812,29kn, ukupni rashodi 13.110.033,24kn , što daje manjnak prihoda u tekućoj godini 1.758.220,95kn te se pokriva iz viška prihoda iz 2017. Godine koji iznosi 3.293.283,13 te proizlazi vipak prihoda u iznosu 1.535.062,19kn raspoloživ u 2019. godini.</w:t>
      </w:r>
    </w:p>
    <w:p w:rsidR="00420DDE" w:rsidRPr="00D95ACD" w:rsidRDefault="00420DDE" w:rsidP="00420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DDE" w:rsidRPr="004D1D45" w:rsidRDefault="00420DDE" w:rsidP="00704B0E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704B0E" w:rsidRPr="00F2522F" w:rsidRDefault="00704B0E" w:rsidP="00704B0E">
      <w:pPr>
        <w:pStyle w:val="Default"/>
        <w:ind w:firstLine="708"/>
        <w:jc w:val="both"/>
        <w:rPr>
          <w:color w:val="FF0000"/>
          <w:sz w:val="22"/>
          <w:szCs w:val="22"/>
        </w:rPr>
      </w:pPr>
    </w:p>
    <w:p w:rsidR="00704B0E" w:rsidRPr="000940B2" w:rsidRDefault="00704B0E" w:rsidP="00704B0E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b/>
          <w:bCs/>
          <w:i/>
          <w:iCs/>
          <w:color w:val="auto"/>
          <w:sz w:val="22"/>
          <w:szCs w:val="22"/>
        </w:rPr>
        <w:t xml:space="preserve">6.1. OBRAZLOŽENJE OSTVARENJA PRIHODA I PRIMITAKA </w:t>
      </w:r>
    </w:p>
    <w:p w:rsidR="00704B0E" w:rsidRPr="00F2522F" w:rsidRDefault="00704B0E" w:rsidP="00704B0E">
      <w:pPr>
        <w:pStyle w:val="Default"/>
        <w:jc w:val="both"/>
        <w:rPr>
          <w:color w:val="FF0000"/>
          <w:sz w:val="22"/>
          <w:szCs w:val="22"/>
        </w:rPr>
      </w:pPr>
    </w:p>
    <w:p w:rsidR="00704B0E" w:rsidRPr="000940B2" w:rsidRDefault="00704B0E" w:rsidP="00704B0E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color w:val="auto"/>
          <w:sz w:val="22"/>
          <w:szCs w:val="22"/>
        </w:rPr>
        <w:t>Prihodi/primi</w:t>
      </w:r>
      <w:r>
        <w:rPr>
          <w:color w:val="auto"/>
          <w:sz w:val="22"/>
          <w:szCs w:val="22"/>
        </w:rPr>
        <w:t xml:space="preserve">ci proračuna u </w:t>
      </w:r>
      <w:r w:rsidRPr="000940B2">
        <w:rPr>
          <w:color w:val="auto"/>
          <w:sz w:val="22"/>
          <w:szCs w:val="22"/>
        </w:rPr>
        <w:t xml:space="preserve"> 201</w:t>
      </w:r>
      <w:r w:rsidR="000C7283">
        <w:rPr>
          <w:color w:val="auto"/>
          <w:sz w:val="22"/>
          <w:szCs w:val="22"/>
        </w:rPr>
        <w:t>8</w:t>
      </w:r>
      <w:r w:rsidRPr="000940B2">
        <w:rPr>
          <w:color w:val="auto"/>
          <w:sz w:val="22"/>
          <w:szCs w:val="22"/>
        </w:rPr>
        <w:t xml:space="preserve">. g. realizirani su u iznosu </w:t>
      </w:r>
      <w:r w:rsidR="000C7283">
        <w:rPr>
          <w:color w:val="auto"/>
          <w:sz w:val="22"/>
          <w:szCs w:val="22"/>
        </w:rPr>
        <w:t>11</w:t>
      </w:r>
      <w:r>
        <w:rPr>
          <w:color w:val="auto"/>
          <w:sz w:val="22"/>
          <w:szCs w:val="22"/>
        </w:rPr>
        <w:t>.</w:t>
      </w:r>
      <w:r w:rsidR="000C7283">
        <w:rPr>
          <w:color w:val="auto"/>
          <w:sz w:val="22"/>
          <w:szCs w:val="22"/>
        </w:rPr>
        <w:t>286</w:t>
      </w:r>
      <w:r>
        <w:rPr>
          <w:color w:val="auto"/>
          <w:sz w:val="22"/>
          <w:szCs w:val="22"/>
        </w:rPr>
        <w:t>.</w:t>
      </w:r>
      <w:r w:rsidR="000C7283">
        <w:rPr>
          <w:color w:val="auto"/>
          <w:sz w:val="22"/>
          <w:szCs w:val="22"/>
        </w:rPr>
        <w:t>229</w:t>
      </w:r>
      <w:r>
        <w:rPr>
          <w:color w:val="auto"/>
          <w:sz w:val="22"/>
          <w:szCs w:val="22"/>
        </w:rPr>
        <w:t>,</w:t>
      </w:r>
      <w:r w:rsidR="000C7283">
        <w:rPr>
          <w:color w:val="auto"/>
          <w:sz w:val="22"/>
          <w:szCs w:val="22"/>
        </w:rPr>
        <w:t>17</w:t>
      </w:r>
      <w:r>
        <w:rPr>
          <w:color w:val="auto"/>
          <w:sz w:val="22"/>
          <w:szCs w:val="22"/>
        </w:rPr>
        <w:t xml:space="preserve"> kn ili </w:t>
      </w:r>
      <w:r w:rsidR="000C7283">
        <w:rPr>
          <w:color w:val="auto"/>
          <w:sz w:val="22"/>
          <w:szCs w:val="22"/>
        </w:rPr>
        <w:t>100</w:t>
      </w:r>
      <w:r>
        <w:rPr>
          <w:color w:val="auto"/>
          <w:sz w:val="22"/>
          <w:szCs w:val="22"/>
        </w:rPr>
        <w:t>,</w:t>
      </w:r>
      <w:r w:rsidR="000C7283">
        <w:rPr>
          <w:color w:val="auto"/>
          <w:sz w:val="22"/>
          <w:szCs w:val="22"/>
        </w:rPr>
        <w:t>55</w:t>
      </w:r>
      <w:r w:rsidRPr="000940B2">
        <w:rPr>
          <w:color w:val="auto"/>
          <w:sz w:val="22"/>
          <w:szCs w:val="22"/>
        </w:rPr>
        <w:t xml:space="preserve">% godišnjeg plana. </w:t>
      </w:r>
    </w:p>
    <w:p w:rsidR="00704B0E" w:rsidRPr="000940B2" w:rsidRDefault="00704B0E" w:rsidP="00704B0E">
      <w:pPr>
        <w:pStyle w:val="Default"/>
        <w:jc w:val="both"/>
        <w:rPr>
          <w:color w:val="auto"/>
          <w:sz w:val="22"/>
          <w:szCs w:val="22"/>
        </w:rPr>
      </w:pPr>
      <w:r w:rsidRPr="000940B2">
        <w:rPr>
          <w:color w:val="auto"/>
          <w:sz w:val="22"/>
          <w:szCs w:val="22"/>
        </w:rPr>
        <w:t xml:space="preserve">U nastavku daje se obrazloženje ostvarenja pojedinih vrsta prihoda/ primitaka po osnovnim skupinama prihoda  u odnosu na ukupno planirane prihode </w:t>
      </w:r>
    </w:p>
    <w:p w:rsidR="00704B0E" w:rsidRPr="000940B2" w:rsidRDefault="00704B0E" w:rsidP="00704B0E">
      <w:pPr>
        <w:pStyle w:val="Default"/>
        <w:jc w:val="both"/>
        <w:rPr>
          <w:color w:val="auto"/>
          <w:sz w:val="22"/>
          <w:szCs w:val="22"/>
        </w:rPr>
      </w:pPr>
    </w:p>
    <w:p w:rsidR="00704B0E" w:rsidRPr="000940B2" w:rsidRDefault="00704B0E" w:rsidP="00704B0E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0940B2">
        <w:rPr>
          <w:i/>
          <w:iCs/>
          <w:color w:val="auto"/>
          <w:sz w:val="22"/>
          <w:szCs w:val="22"/>
        </w:rPr>
        <w:t xml:space="preserve">6.1.1. PRIHODI POSLOVANJA </w:t>
      </w:r>
    </w:p>
    <w:p w:rsidR="00704B0E" w:rsidRPr="000940B2" w:rsidRDefault="00704B0E" w:rsidP="00704B0E">
      <w:pPr>
        <w:pStyle w:val="Default"/>
        <w:jc w:val="both"/>
        <w:rPr>
          <w:i/>
          <w:iCs/>
          <w:color w:val="aut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417"/>
      </w:tblGrid>
      <w:tr w:rsidR="00704B0E" w:rsidRPr="000940B2" w:rsidTr="0079357B">
        <w:trPr>
          <w:trHeight w:val="11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B0E" w:rsidRPr="000940B2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 xml:space="preserve">PRIHODI POSLOVANJA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B0E" w:rsidRPr="000940B2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Plan</w:t>
            </w:r>
          </w:p>
          <w:p w:rsidR="00704B0E" w:rsidRPr="000940B2" w:rsidRDefault="00704B0E" w:rsidP="000C728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201</w:t>
            </w:r>
            <w:r w:rsidR="000C7283">
              <w:rPr>
                <w:rFonts w:ascii="Times New Roman" w:hAnsi="Times New Roman" w:cs="Times New Roman"/>
              </w:rPr>
              <w:t>8</w:t>
            </w:r>
            <w:r w:rsidRPr="000940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57B" w:rsidRDefault="0079357B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04B0E" w:rsidRPr="000940B2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Izvršenje</w:t>
            </w:r>
          </w:p>
          <w:p w:rsidR="00704B0E" w:rsidRPr="000940B2" w:rsidRDefault="00704B0E" w:rsidP="0079357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 -  12</w:t>
            </w:r>
            <w:r w:rsidRPr="000940B2">
              <w:rPr>
                <w:rFonts w:ascii="Times New Roman" w:hAnsi="Times New Roman" w:cs="Times New Roman"/>
              </w:rPr>
              <w:t>. 201</w:t>
            </w:r>
            <w:r w:rsidR="000C7283">
              <w:rPr>
                <w:rFonts w:ascii="Times New Roman" w:hAnsi="Times New Roman" w:cs="Times New Roman"/>
              </w:rPr>
              <w:t>8</w:t>
            </w:r>
            <w:r w:rsidRPr="000940B2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B0E" w:rsidRPr="000940B2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Indeks</w:t>
            </w:r>
          </w:p>
          <w:p w:rsidR="00704B0E" w:rsidRPr="000940B2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 xml:space="preserve">2/1 </w:t>
            </w:r>
            <w:r w:rsidR="0079357B">
              <w:rPr>
                <w:rFonts w:ascii="Times New Roman" w:hAnsi="Times New Roman" w:cs="Times New Roman"/>
              </w:rPr>
              <w:t>*100</w:t>
            </w:r>
          </w:p>
        </w:tc>
      </w:tr>
      <w:tr w:rsidR="00704B0E" w:rsidRPr="000940B2" w:rsidTr="00E20DEF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0940B2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0940B2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0940B2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0940B2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3</w:t>
            </w:r>
          </w:p>
        </w:tc>
      </w:tr>
      <w:tr w:rsidR="00704B0E" w:rsidRPr="000940B2" w:rsidTr="00E20DEF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0940B2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940B2">
              <w:rPr>
                <w:rFonts w:ascii="Times New Roman" w:hAnsi="Times New Roman" w:cs="Times New Roman"/>
              </w:rPr>
              <w:t>Prihodi od poreza 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0940B2" w:rsidRDefault="000C7283" w:rsidP="000C728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922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013A05">
              <w:rPr>
                <w:rFonts w:ascii="Times New Roman" w:hAnsi="Times New Roman" w:cs="Times New Roman"/>
              </w:rPr>
              <w:t>0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0940B2" w:rsidRDefault="000C7283" w:rsidP="00793C5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907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793C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0940B2" w:rsidRDefault="000C7283" w:rsidP="000C728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  <w:r w:rsidR="00704B0E" w:rsidRPr="000940B2">
              <w:rPr>
                <w:rFonts w:ascii="Times New Roman" w:hAnsi="Times New Roman" w:cs="Times New Roman"/>
              </w:rPr>
              <w:t>%</w:t>
            </w:r>
          </w:p>
        </w:tc>
      </w:tr>
      <w:tr w:rsidR="00704B0E" w:rsidRPr="00AA7BD3" w:rsidTr="00E20DEF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AA7BD3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Pomoći 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AA7BD3" w:rsidRDefault="00983D5A" w:rsidP="00983D5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309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756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93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AA7BD3" w:rsidRDefault="00983D5A" w:rsidP="00983D5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1.261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099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AA7BD3" w:rsidRDefault="00983D5A" w:rsidP="00983D5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28%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B0E" w:rsidRPr="00AA7BD3" w:rsidTr="00E20DEF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AA7BD3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Prihodi od imovine 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AA7BD3" w:rsidRDefault="003E05A8" w:rsidP="003E05A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342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700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AA7BD3" w:rsidRDefault="003E05A8" w:rsidP="003E05A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438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328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02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AA7BD3" w:rsidRDefault="003E05A8" w:rsidP="003E05A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  <w:r w:rsidR="00704B0E" w:rsidRPr="00AA7BD3">
              <w:rPr>
                <w:rFonts w:ascii="Times New Roman" w:hAnsi="Times New Roman" w:cs="Times New Roman"/>
              </w:rPr>
              <w:t>%</w:t>
            </w:r>
          </w:p>
        </w:tc>
      </w:tr>
      <w:tr w:rsidR="00704B0E" w:rsidRPr="00AA7BD3" w:rsidTr="00E20DEF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AA7BD3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AA7BD3">
              <w:rPr>
                <w:rFonts w:ascii="Times New Roman" w:hAnsi="Times New Roman" w:cs="Times New Roman"/>
              </w:rPr>
              <w:t>Prihodi od upravnih i administrativnih pristojbi, pristojbi po posebnim propisima i naknada  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AA7BD3" w:rsidRDefault="001A14E3" w:rsidP="001A14E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220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AA7BD3" w:rsidRDefault="001A14E3" w:rsidP="001A14E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434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AA7BD3" w:rsidRDefault="001A14E3" w:rsidP="001A14E3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  <w:r w:rsidR="00704B0E"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704B0E" w:rsidRPr="00AA7BD3" w:rsidTr="00E20DEF">
        <w:trPr>
          <w:trHeight w:val="3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Pr="00AA7BD3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prihodi 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Default="003A1EA9" w:rsidP="003A1E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250</w:t>
            </w:r>
            <w:r w:rsidR="00704B0E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Default="003A1EA9" w:rsidP="003A1E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250</w:t>
            </w:r>
            <w:r w:rsidR="00704B0E">
              <w:rPr>
                <w:rFonts w:ascii="Times New Roman" w:hAnsi="Times New Roman" w:cs="Times New Roman"/>
              </w:rPr>
              <w:t xml:space="preserve">,00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B0E" w:rsidRDefault="003A1EA9" w:rsidP="003A1EA9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="00704B0E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04B0E" w:rsidRPr="00AA7BD3" w:rsidTr="00E20DEF">
        <w:trPr>
          <w:trHeight w:val="3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B0E" w:rsidRPr="00E20DEF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E20DEF">
              <w:rPr>
                <w:rFonts w:ascii="Times New Roman" w:hAnsi="Times New Roman" w:cs="Times New Roman"/>
                <w:b/>
              </w:rPr>
              <w:lastRenderedPageBreak/>
              <w:t>U k u p n o :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B0E" w:rsidRPr="00DE5790" w:rsidRDefault="00013A05" w:rsidP="00013A0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DE5790">
              <w:rPr>
                <w:rFonts w:ascii="Times New Roman" w:hAnsi="Times New Roman" w:cs="Times New Roman"/>
                <w:b/>
              </w:rPr>
              <w:t>11</w:t>
            </w:r>
            <w:r w:rsidR="00704B0E" w:rsidRPr="00DE5790">
              <w:rPr>
                <w:rFonts w:ascii="Times New Roman" w:hAnsi="Times New Roman" w:cs="Times New Roman"/>
                <w:b/>
              </w:rPr>
              <w:t>.</w:t>
            </w:r>
            <w:r w:rsidRPr="00DE5790">
              <w:rPr>
                <w:rFonts w:ascii="Times New Roman" w:hAnsi="Times New Roman" w:cs="Times New Roman"/>
                <w:b/>
              </w:rPr>
              <w:t>224</w:t>
            </w:r>
            <w:r w:rsidR="00704B0E" w:rsidRPr="00DE5790">
              <w:rPr>
                <w:rFonts w:ascii="Times New Roman" w:hAnsi="Times New Roman" w:cs="Times New Roman"/>
                <w:b/>
              </w:rPr>
              <w:t>.</w:t>
            </w:r>
            <w:r w:rsidRPr="00DE5790">
              <w:rPr>
                <w:rFonts w:ascii="Times New Roman" w:hAnsi="Times New Roman" w:cs="Times New Roman"/>
                <w:b/>
              </w:rPr>
              <w:t>426</w:t>
            </w:r>
            <w:r w:rsidR="00704B0E" w:rsidRPr="00DE5790">
              <w:rPr>
                <w:rFonts w:ascii="Times New Roman" w:hAnsi="Times New Roman" w:cs="Times New Roman"/>
                <w:b/>
              </w:rPr>
              <w:t>,</w:t>
            </w:r>
            <w:r w:rsidRPr="00DE5790">
              <w:rPr>
                <w:rFonts w:ascii="Times New Roman" w:hAnsi="Times New Roman" w:cs="Times New Roman"/>
                <w:b/>
              </w:rPr>
              <w:t>93</w:t>
            </w:r>
            <w:r w:rsidR="00704B0E" w:rsidRPr="00DE579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B0E" w:rsidRPr="00DE5790" w:rsidRDefault="00013A05" w:rsidP="00013A0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DE5790">
              <w:rPr>
                <w:rFonts w:ascii="Times New Roman" w:hAnsi="Times New Roman" w:cs="Times New Roman"/>
                <w:b/>
              </w:rPr>
              <w:t>11.286.229,17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4B0E" w:rsidRPr="00DE5790" w:rsidRDefault="00013A05" w:rsidP="00013A05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 w:rsidRPr="00DE5790">
              <w:rPr>
                <w:rFonts w:ascii="Times New Roman" w:hAnsi="Times New Roman" w:cs="Times New Roman"/>
                <w:b/>
              </w:rPr>
              <w:t>100</w:t>
            </w:r>
            <w:r w:rsidR="00704B0E" w:rsidRPr="00DE5790">
              <w:rPr>
                <w:rFonts w:ascii="Times New Roman" w:hAnsi="Times New Roman" w:cs="Times New Roman"/>
                <w:b/>
              </w:rPr>
              <w:t>,</w:t>
            </w:r>
            <w:r w:rsidRPr="00DE5790">
              <w:rPr>
                <w:rFonts w:ascii="Times New Roman" w:hAnsi="Times New Roman" w:cs="Times New Roman"/>
                <w:b/>
              </w:rPr>
              <w:t>55</w:t>
            </w:r>
            <w:r w:rsidR="00704B0E" w:rsidRPr="00DE5790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704B0E" w:rsidRPr="0094275D" w:rsidRDefault="00704B0E" w:rsidP="00704B0E">
      <w:pPr>
        <w:widowControl w:val="0"/>
        <w:tabs>
          <w:tab w:val="center" w:pos="7756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7"/>
          <w:szCs w:val="27"/>
        </w:rPr>
        <w:sectPr w:rsidR="00704B0E" w:rsidRPr="0094275D" w:rsidSect="00E20DE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04B0E" w:rsidRPr="006E24F3" w:rsidRDefault="00704B0E" w:rsidP="00704B0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6E24F3">
        <w:rPr>
          <w:color w:val="auto"/>
          <w:sz w:val="22"/>
          <w:szCs w:val="22"/>
        </w:rPr>
        <w:lastRenderedPageBreak/>
        <w:t xml:space="preserve">Prihodi od poreza ostvareni su u iznosu </w:t>
      </w:r>
      <w:r w:rsidR="00D052DE">
        <w:rPr>
          <w:color w:val="auto"/>
          <w:sz w:val="22"/>
          <w:szCs w:val="22"/>
        </w:rPr>
        <w:t>4</w:t>
      </w:r>
      <w:r w:rsidRPr="006E24F3">
        <w:rPr>
          <w:color w:val="auto"/>
          <w:sz w:val="22"/>
          <w:szCs w:val="22"/>
        </w:rPr>
        <w:t>.</w:t>
      </w:r>
      <w:r w:rsidR="00D052DE">
        <w:rPr>
          <w:color w:val="auto"/>
          <w:sz w:val="22"/>
          <w:szCs w:val="22"/>
        </w:rPr>
        <w:t>907</w:t>
      </w:r>
      <w:r w:rsidRPr="006E24F3">
        <w:rPr>
          <w:color w:val="auto"/>
          <w:sz w:val="22"/>
          <w:szCs w:val="22"/>
        </w:rPr>
        <w:t>.</w:t>
      </w:r>
      <w:r w:rsidR="00D052DE">
        <w:rPr>
          <w:color w:val="auto"/>
          <w:sz w:val="22"/>
          <w:szCs w:val="22"/>
        </w:rPr>
        <w:t>117</w:t>
      </w:r>
      <w:r w:rsidRPr="006E24F3">
        <w:rPr>
          <w:color w:val="auto"/>
          <w:sz w:val="22"/>
          <w:szCs w:val="22"/>
        </w:rPr>
        <w:t xml:space="preserve">,91 kn, ili </w:t>
      </w:r>
      <w:r w:rsidR="00D052DE">
        <w:rPr>
          <w:color w:val="auto"/>
          <w:sz w:val="22"/>
          <w:szCs w:val="22"/>
        </w:rPr>
        <w:t>99</w:t>
      </w:r>
      <w:r w:rsidRPr="006E24F3">
        <w:rPr>
          <w:color w:val="auto"/>
          <w:sz w:val="22"/>
          <w:szCs w:val="22"/>
        </w:rPr>
        <w:t>,</w:t>
      </w:r>
      <w:r w:rsidR="00D052DE">
        <w:rPr>
          <w:color w:val="auto"/>
          <w:sz w:val="22"/>
          <w:szCs w:val="22"/>
        </w:rPr>
        <w:t>69</w:t>
      </w:r>
      <w:r w:rsidRPr="006E24F3">
        <w:rPr>
          <w:color w:val="auto"/>
          <w:sz w:val="22"/>
          <w:szCs w:val="22"/>
        </w:rPr>
        <w:t>% ukupno planiranih prihoda od poreza u 201</w:t>
      </w:r>
      <w:r w:rsidR="00D052DE">
        <w:rPr>
          <w:color w:val="auto"/>
          <w:sz w:val="22"/>
          <w:szCs w:val="22"/>
        </w:rPr>
        <w:t>8</w:t>
      </w:r>
      <w:r w:rsidRPr="006E24F3">
        <w:rPr>
          <w:color w:val="auto"/>
          <w:sz w:val="22"/>
          <w:szCs w:val="22"/>
        </w:rPr>
        <w:t xml:space="preserve">. g.  </w:t>
      </w:r>
    </w:p>
    <w:p w:rsidR="00704B0E" w:rsidRPr="006E24F3" w:rsidRDefault="00704B0E" w:rsidP="00704B0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6E24F3">
        <w:rPr>
          <w:color w:val="auto"/>
          <w:sz w:val="22"/>
          <w:szCs w:val="22"/>
        </w:rPr>
        <w:t xml:space="preserve">Prihodi od pomoći iz inozemstva i od subjekata unutar opće države ostvareni su u iznosu </w:t>
      </w:r>
      <w:r w:rsidR="00D052DE">
        <w:rPr>
          <w:color w:val="auto"/>
          <w:sz w:val="22"/>
          <w:szCs w:val="22"/>
        </w:rPr>
        <w:t>1</w:t>
      </w:r>
      <w:r w:rsidRPr="006E24F3">
        <w:rPr>
          <w:color w:val="auto"/>
          <w:sz w:val="22"/>
          <w:szCs w:val="22"/>
        </w:rPr>
        <w:t>.</w:t>
      </w:r>
      <w:r w:rsidR="00D052DE">
        <w:rPr>
          <w:color w:val="auto"/>
          <w:sz w:val="22"/>
          <w:szCs w:val="22"/>
        </w:rPr>
        <w:t>261</w:t>
      </w:r>
      <w:r w:rsidRPr="006E24F3">
        <w:rPr>
          <w:color w:val="auto"/>
          <w:sz w:val="22"/>
          <w:szCs w:val="22"/>
        </w:rPr>
        <w:t>.</w:t>
      </w:r>
      <w:r w:rsidR="00D052DE">
        <w:rPr>
          <w:color w:val="auto"/>
          <w:sz w:val="22"/>
          <w:szCs w:val="22"/>
        </w:rPr>
        <w:t>099</w:t>
      </w:r>
      <w:r w:rsidRPr="006E24F3">
        <w:rPr>
          <w:color w:val="auto"/>
          <w:sz w:val="22"/>
          <w:szCs w:val="22"/>
        </w:rPr>
        <w:t>,</w:t>
      </w:r>
      <w:r w:rsidR="00D052DE">
        <w:rPr>
          <w:color w:val="auto"/>
          <w:sz w:val="22"/>
          <w:szCs w:val="22"/>
        </w:rPr>
        <w:t>03</w:t>
      </w:r>
      <w:r w:rsidRPr="006E24F3">
        <w:rPr>
          <w:color w:val="auto"/>
          <w:sz w:val="22"/>
          <w:szCs w:val="22"/>
        </w:rPr>
        <w:t xml:space="preserve"> kn, ili </w:t>
      </w:r>
      <w:r w:rsidR="00D052DE">
        <w:rPr>
          <w:color w:val="auto"/>
          <w:sz w:val="22"/>
          <w:szCs w:val="22"/>
        </w:rPr>
        <w:t>96</w:t>
      </w:r>
      <w:r w:rsidRPr="006E24F3">
        <w:rPr>
          <w:color w:val="auto"/>
          <w:sz w:val="22"/>
          <w:szCs w:val="22"/>
        </w:rPr>
        <w:t>,</w:t>
      </w:r>
      <w:r w:rsidR="00D052DE">
        <w:rPr>
          <w:color w:val="auto"/>
          <w:sz w:val="22"/>
          <w:szCs w:val="22"/>
        </w:rPr>
        <w:t>28</w:t>
      </w:r>
      <w:r w:rsidRPr="006E24F3">
        <w:rPr>
          <w:color w:val="auto"/>
          <w:sz w:val="22"/>
          <w:szCs w:val="22"/>
        </w:rPr>
        <w:t>% planiranih prihoda u 201</w:t>
      </w:r>
      <w:r w:rsidR="00D052DE">
        <w:rPr>
          <w:color w:val="auto"/>
          <w:sz w:val="22"/>
          <w:szCs w:val="22"/>
        </w:rPr>
        <w:t>8</w:t>
      </w:r>
      <w:r w:rsidRPr="006E24F3">
        <w:rPr>
          <w:color w:val="auto"/>
          <w:sz w:val="22"/>
          <w:szCs w:val="22"/>
        </w:rPr>
        <w:t>.g. ( odnose se na tekuće pomoći iz državnog  i županijskog proračuna, kapitalne pomoći, tekuće pomoći HHZ-a, tekuće pomoći temeljem prienosa EU sredstava</w:t>
      </w:r>
    </w:p>
    <w:p w:rsidR="00704B0E" w:rsidRPr="006E24F3" w:rsidRDefault="00704B0E" w:rsidP="00704B0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6E24F3">
        <w:rPr>
          <w:color w:val="auto"/>
          <w:sz w:val="22"/>
          <w:szCs w:val="22"/>
        </w:rPr>
        <w:t xml:space="preserve">Prihodi od imovine  realizirani su u iznosu </w:t>
      </w:r>
      <w:r w:rsidR="00D052DE">
        <w:rPr>
          <w:color w:val="auto"/>
          <w:sz w:val="22"/>
          <w:szCs w:val="22"/>
        </w:rPr>
        <w:t>4</w:t>
      </w:r>
      <w:r w:rsidRPr="006E24F3">
        <w:rPr>
          <w:color w:val="auto"/>
          <w:sz w:val="22"/>
          <w:szCs w:val="22"/>
        </w:rPr>
        <w:t>.</w:t>
      </w:r>
      <w:r w:rsidR="00D052DE">
        <w:rPr>
          <w:color w:val="auto"/>
          <w:sz w:val="22"/>
          <w:szCs w:val="22"/>
        </w:rPr>
        <w:t>438</w:t>
      </w:r>
      <w:r w:rsidRPr="006E24F3">
        <w:rPr>
          <w:color w:val="auto"/>
          <w:sz w:val="22"/>
          <w:szCs w:val="22"/>
        </w:rPr>
        <w:t>.</w:t>
      </w:r>
      <w:r w:rsidR="00D052DE">
        <w:rPr>
          <w:color w:val="auto"/>
          <w:sz w:val="22"/>
          <w:szCs w:val="22"/>
        </w:rPr>
        <w:t>328</w:t>
      </w:r>
      <w:r w:rsidRPr="006E24F3">
        <w:rPr>
          <w:color w:val="auto"/>
          <w:sz w:val="22"/>
          <w:szCs w:val="22"/>
        </w:rPr>
        <w:t>,</w:t>
      </w:r>
      <w:r w:rsidR="00D052DE">
        <w:rPr>
          <w:color w:val="auto"/>
          <w:sz w:val="22"/>
          <w:szCs w:val="22"/>
        </w:rPr>
        <w:t>02</w:t>
      </w:r>
      <w:r w:rsidRPr="006E24F3">
        <w:rPr>
          <w:color w:val="auto"/>
          <w:sz w:val="22"/>
          <w:szCs w:val="22"/>
        </w:rPr>
        <w:t xml:space="preserve"> kn</w:t>
      </w:r>
      <w:r w:rsidRPr="006E24F3">
        <w:rPr>
          <w:color w:val="auto"/>
          <w:sz w:val="22"/>
          <w:szCs w:val="22"/>
        </w:rPr>
        <w:tab/>
        <w:t>, ili 10</w:t>
      </w:r>
      <w:r w:rsidR="00D052DE">
        <w:rPr>
          <w:color w:val="auto"/>
          <w:sz w:val="22"/>
          <w:szCs w:val="22"/>
        </w:rPr>
        <w:t>2</w:t>
      </w:r>
      <w:r w:rsidRPr="006E24F3">
        <w:rPr>
          <w:color w:val="auto"/>
          <w:sz w:val="22"/>
          <w:szCs w:val="22"/>
        </w:rPr>
        <w:t>,</w:t>
      </w:r>
      <w:r w:rsidR="00D052DE">
        <w:rPr>
          <w:color w:val="auto"/>
          <w:sz w:val="22"/>
          <w:szCs w:val="22"/>
        </w:rPr>
        <w:t>20</w:t>
      </w:r>
      <w:r w:rsidRPr="006E24F3">
        <w:rPr>
          <w:color w:val="auto"/>
          <w:sz w:val="22"/>
          <w:szCs w:val="22"/>
        </w:rPr>
        <w:t xml:space="preserve">%  planiranih prihoda. Najznačajniji udio prihoda u ovoj skupini su prihodi od zakupa državnog poljoprivrednog zemljišta,naknade za iskorištavanje mineralnih sirovina, koncesijske naknade, kamata  i prihodi od nefinancijske imovine ( naknade za legalizaciju). </w:t>
      </w:r>
    </w:p>
    <w:p w:rsidR="00704B0E" w:rsidRPr="006E24F3" w:rsidRDefault="00704B0E" w:rsidP="00704B0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6E24F3">
        <w:rPr>
          <w:color w:val="auto"/>
          <w:sz w:val="22"/>
          <w:szCs w:val="22"/>
        </w:rPr>
        <w:t xml:space="preserve">Prihodi od administrativnih pristojbi i po posebnih propisima realizirani su u iznosu </w:t>
      </w:r>
      <w:r w:rsidR="00D052DE">
        <w:rPr>
          <w:color w:val="auto"/>
          <w:sz w:val="22"/>
          <w:szCs w:val="22"/>
        </w:rPr>
        <w:t>661</w:t>
      </w:r>
      <w:r w:rsidRPr="006E24F3">
        <w:rPr>
          <w:color w:val="auto"/>
          <w:sz w:val="22"/>
          <w:szCs w:val="22"/>
        </w:rPr>
        <w:t>.</w:t>
      </w:r>
      <w:r w:rsidR="00D052DE">
        <w:rPr>
          <w:color w:val="auto"/>
          <w:sz w:val="22"/>
          <w:szCs w:val="22"/>
        </w:rPr>
        <w:t>434</w:t>
      </w:r>
      <w:r w:rsidRPr="006E24F3">
        <w:rPr>
          <w:color w:val="auto"/>
          <w:sz w:val="22"/>
          <w:szCs w:val="22"/>
        </w:rPr>
        <w:t>,</w:t>
      </w:r>
      <w:r w:rsidR="00D052DE">
        <w:rPr>
          <w:color w:val="auto"/>
          <w:sz w:val="22"/>
          <w:szCs w:val="22"/>
        </w:rPr>
        <w:t>21</w:t>
      </w:r>
      <w:r w:rsidRPr="006E24F3">
        <w:rPr>
          <w:color w:val="auto"/>
          <w:sz w:val="22"/>
          <w:szCs w:val="22"/>
        </w:rPr>
        <w:t xml:space="preserve"> kn  ili </w:t>
      </w:r>
      <w:r w:rsidR="00D052DE">
        <w:rPr>
          <w:color w:val="auto"/>
          <w:sz w:val="22"/>
          <w:szCs w:val="22"/>
        </w:rPr>
        <w:t>104</w:t>
      </w:r>
      <w:r w:rsidRPr="006E24F3">
        <w:rPr>
          <w:color w:val="auto"/>
          <w:sz w:val="22"/>
          <w:szCs w:val="22"/>
        </w:rPr>
        <w:t>,</w:t>
      </w:r>
      <w:r w:rsidR="00D052DE">
        <w:rPr>
          <w:color w:val="auto"/>
          <w:sz w:val="22"/>
          <w:szCs w:val="22"/>
        </w:rPr>
        <w:t>62</w:t>
      </w:r>
      <w:r w:rsidRPr="006E24F3">
        <w:rPr>
          <w:color w:val="auto"/>
          <w:sz w:val="22"/>
          <w:szCs w:val="22"/>
        </w:rPr>
        <w:t xml:space="preserve">% planiranih prihoda. Najznačajniji udio prihoda u ovoj skupini su prihodi od komunalne naknade, grobne naknade,  komunalnog doprinosa,  vodnog  i  šumskog doprinosa, te povrati u općinski proračun stipendija koje nisu opravdano iskorištene. </w:t>
      </w:r>
    </w:p>
    <w:p w:rsidR="00704B0E" w:rsidRPr="003F2244" w:rsidRDefault="00704B0E" w:rsidP="00704B0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3F2244">
        <w:rPr>
          <w:color w:val="auto"/>
          <w:sz w:val="22"/>
          <w:szCs w:val="22"/>
        </w:rPr>
        <w:t xml:space="preserve">Ostali prihodi- donacija od pravnih i fizičkih osoba iznose </w:t>
      </w:r>
      <w:r w:rsidR="00D052DE">
        <w:rPr>
          <w:color w:val="auto"/>
          <w:sz w:val="22"/>
          <w:szCs w:val="22"/>
        </w:rPr>
        <w:t>17</w:t>
      </w:r>
      <w:r w:rsidRPr="003F2244">
        <w:rPr>
          <w:color w:val="auto"/>
          <w:sz w:val="22"/>
          <w:szCs w:val="22"/>
        </w:rPr>
        <w:t>.</w:t>
      </w:r>
      <w:r w:rsidR="00D052DE">
        <w:rPr>
          <w:color w:val="auto"/>
          <w:sz w:val="22"/>
          <w:szCs w:val="22"/>
        </w:rPr>
        <w:t>250</w:t>
      </w:r>
      <w:r w:rsidRPr="003F2244">
        <w:rPr>
          <w:color w:val="auto"/>
          <w:sz w:val="22"/>
          <w:szCs w:val="22"/>
        </w:rPr>
        <w:t xml:space="preserve">,00 kn ili </w:t>
      </w:r>
      <w:r w:rsidR="00D052DE">
        <w:rPr>
          <w:color w:val="auto"/>
          <w:sz w:val="22"/>
          <w:szCs w:val="22"/>
        </w:rPr>
        <w:t>100</w:t>
      </w:r>
      <w:r w:rsidRPr="003F2244">
        <w:rPr>
          <w:color w:val="auto"/>
          <w:sz w:val="22"/>
          <w:szCs w:val="22"/>
        </w:rPr>
        <w:t>,00% odnose  na donacije pravnih osoba za održavanje manifestacije Bundevijade.</w:t>
      </w:r>
    </w:p>
    <w:p w:rsidR="00704B0E" w:rsidRPr="009E13A8" w:rsidRDefault="00704B0E" w:rsidP="00704B0E">
      <w:pPr>
        <w:pStyle w:val="Default"/>
        <w:ind w:left="36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</w:p>
    <w:p w:rsidR="00704B0E" w:rsidRPr="009E13A8" w:rsidRDefault="00704B0E" w:rsidP="00704B0E">
      <w:pPr>
        <w:pStyle w:val="Default"/>
        <w:ind w:left="720"/>
        <w:jc w:val="both"/>
        <w:rPr>
          <w:color w:val="FF0000"/>
          <w:sz w:val="22"/>
          <w:szCs w:val="22"/>
        </w:rPr>
      </w:pPr>
    </w:p>
    <w:p w:rsidR="00704B0E" w:rsidRPr="009E13A8" w:rsidRDefault="00704B0E" w:rsidP="00704B0E">
      <w:pPr>
        <w:pStyle w:val="Default"/>
        <w:jc w:val="both"/>
        <w:rPr>
          <w:color w:val="FF0000"/>
          <w:sz w:val="22"/>
          <w:szCs w:val="22"/>
        </w:rPr>
      </w:pPr>
    </w:p>
    <w:p w:rsidR="00704B0E" w:rsidRDefault="00704B0E" w:rsidP="00704B0E">
      <w:pPr>
        <w:pStyle w:val="Default"/>
        <w:ind w:left="720"/>
        <w:jc w:val="both"/>
      </w:pPr>
    </w:p>
    <w:p w:rsidR="00704B0E" w:rsidRPr="000D394C" w:rsidRDefault="00704B0E" w:rsidP="00704B0E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704B0E" w:rsidRPr="000D394C" w:rsidRDefault="00704B0E" w:rsidP="00704B0E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704B0E" w:rsidRPr="002E44F9" w:rsidRDefault="00704B0E" w:rsidP="00704B0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2E44F9">
        <w:rPr>
          <w:b/>
          <w:color w:val="auto"/>
          <w:sz w:val="22"/>
          <w:szCs w:val="22"/>
        </w:rPr>
        <w:t>6.2.</w:t>
      </w:r>
      <w:r w:rsidRPr="002E44F9">
        <w:rPr>
          <w:b/>
          <w:bCs/>
          <w:i/>
          <w:iCs/>
          <w:color w:val="auto"/>
          <w:sz w:val="22"/>
          <w:szCs w:val="22"/>
        </w:rPr>
        <w:t xml:space="preserve"> OBRAZLOŽENJE OSTVARENJA </w:t>
      </w:r>
      <w:r w:rsidRPr="002E44F9">
        <w:rPr>
          <w:b/>
          <w:bCs/>
          <w:color w:val="auto"/>
          <w:sz w:val="22"/>
          <w:szCs w:val="22"/>
        </w:rPr>
        <w:t>RASHODA I IZDATAKA</w:t>
      </w:r>
    </w:p>
    <w:p w:rsidR="00704B0E" w:rsidRPr="002E44F9" w:rsidRDefault="00704B0E" w:rsidP="00704B0E">
      <w:pPr>
        <w:pStyle w:val="Default"/>
        <w:jc w:val="both"/>
        <w:rPr>
          <w:bCs/>
          <w:color w:val="auto"/>
          <w:sz w:val="22"/>
          <w:szCs w:val="22"/>
        </w:rPr>
      </w:pPr>
    </w:p>
    <w:p w:rsidR="00704B0E" w:rsidRPr="002E44F9" w:rsidRDefault="00704B0E" w:rsidP="00704B0E">
      <w:pPr>
        <w:pStyle w:val="Default"/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Ukupni proračunski rashodi i izdaci izvrš</w:t>
      </w:r>
      <w:r>
        <w:rPr>
          <w:bCs/>
          <w:color w:val="auto"/>
          <w:sz w:val="22"/>
          <w:szCs w:val="22"/>
        </w:rPr>
        <w:t xml:space="preserve">eni su u iznosu od  </w:t>
      </w:r>
      <w:r w:rsidR="00D052DE">
        <w:rPr>
          <w:bCs/>
          <w:color w:val="auto"/>
          <w:sz w:val="22"/>
          <w:szCs w:val="22"/>
        </w:rPr>
        <w:t>9</w:t>
      </w:r>
      <w:r>
        <w:rPr>
          <w:bCs/>
          <w:color w:val="auto"/>
          <w:sz w:val="22"/>
          <w:szCs w:val="22"/>
        </w:rPr>
        <w:t>.</w:t>
      </w:r>
      <w:r w:rsidR="00D052DE">
        <w:rPr>
          <w:bCs/>
          <w:color w:val="auto"/>
          <w:sz w:val="22"/>
          <w:szCs w:val="22"/>
        </w:rPr>
        <w:t>425</w:t>
      </w:r>
      <w:r>
        <w:rPr>
          <w:bCs/>
          <w:color w:val="auto"/>
          <w:sz w:val="22"/>
          <w:szCs w:val="22"/>
        </w:rPr>
        <w:t>.</w:t>
      </w:r>
      <w:r w:rsidR="00D052DE">
        <w:rPr>
          <w:bCs/>
          <w:color w:val="auto"/>
          <w:sz w:val="22"/>
          <w:szCs w:val="22"/>
        </w:rPr>
        <w:t>400</w:t>
      </w:r>
      <w:r>
        <w:rPr>
          <w:bCs/>
          <w:color w:val="auto"/>
          <w:sz w:val="22"/>
          <w:szCs w:val="22"/>
        </w:rPr>
        <w:t>,</w:t>
      </w:r>
      <w:r w:rsidR="00D052DE">
        <w:rPr>
          <w:bCs/>
          <w:color w:val="auto"/>
          <w:sz w:val="22"/>
          <w:szCs w:val="22"/>
        </w:rPr>
        <w:t>68</w:t>
      </w:r>
      <w:r>
        <w:rPr>
          <w:bCs/>
          <w:color w:val="auto"/>
          <w:sz w:val="22"/>
          <w:szCs w:val="22"/>
        </w:rPr>
        <w:t xml:space="preserve"> kn ili  9</w:t>
      </w:r>
      <w:r w:rsidR="00D052DE">
        <w:rPr>
          <w:bCs/>
          <w:color w:val="auto"/>
          <w:sz w:val="22"/>
          <w:szCs w:val="22"/>
        </w:rPr>
        <w:t>9</w:t>
      </w:r>
      <w:r>
        <w:rPr>
          <w:bCs/>
          <w:color w:val="auto"/>
          <w:sz w:val="22"/>
          <w:szCs w:val="22"/>
        </w:rPr>
        <w:t>,0</w:t>
      </w:r>
      <w:r w:rsidR="00D052DE">
        <w:rPr>
          <w:bCs/>
          <w:color w:val="auto"/>
          <w:sz w:val="22"/>
          <w:szCs w:val="22"/>
        </w:rPr>
        <w:t>4</w:t>
      </w:r>
      <w:r w:rsidRPr="002E44F9">
        <w:rPr>
          <w:bCs/>
          <w:color w:val="auto"/>
          <w:sz w:val="22"/>
          <w:szCs w:val="22"/>
        </w:rPr>
        <w:t>% u odnosu na godišnji plan.</w:t>
      </w:r>
    </w:p>
    <w:p w:rsidR="00704B0E" w:rsidRPr="002E44F9" w:rsidRDefault="00704B0E" w:rsidP="00704B0E">
      <w:pPr>
        <w:pStyle w:val="Default"/>
        <w:jc w:val="both"/>
        <w:rPr>
          <w:bCs/>
          <w:color w:val="auto"/>
          <w:sz w:val="22"/>
          <w:szCs w:val="22"/>
        </w:rPr>
      </w:pPr>
    </w:p>
    <w:p w:rsidR="00704B0E" w:rsidRDefault="00704B0E" w:rsidP="00704B0E">
      <w:pPr>
        <w:pStyle w:val="Default"/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Prema ekonomskoj klasifikaciji rashodi i izdaci su:</w:t>
      </w:r>
    </w:p>
    <w:p w:rsidR="00704B0E" w:rsidRPr="002E44F9" w:rsidRDefault="00704B0E" w:rsidP="00704B0E">
      <w:pPr>
        <w:pStyle w:val="Default"/>
        <w:jc w:val="both"/>
        <w:rPr>
          <w:bCs/>
          <w:color w:val="auto"/>
          <w:sz w:val="22"/>
          <w:szCs w:val="22"/>
        </w:rPr>
      </w:pPr>
    </w:p>
    <w:p w:rsidR="00704B0E" w:rsidRPr="002E44F9" w:rsidRDefault="00704B0E" w:rsidP="00704B0E">
      <w:pPr>
        <w:pStyle w:val="Default"/>
        <w:numPr>
          <w:ilvl w:val="0"/>
          <w:numId w:val="4"/>
        </w:numPr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RASHODI POSLOVANJA</w:t>
      </w:r>
    </w:p>
    <w:p w:rsidR="00704B0E" w:rsidRPr="002E44F9" w:rsidRDefault="00704B0E" w:rsidP="00704B0E">
      <w:pPr>
        <w:pStyle w:val="Default"/>
        <w:numPr>
          <w:ilvl w:val="0"/>
          <w:numId w:val="4"/>
        </w:numPr>
        <w:jc w:val="both"/>
        <w:rPr>
          <w:bCs/>
          <w:color w:val="auto"/>
          <w:sz w:val="22"/>
          <w:szCs w:val="22"/>
        </w:rPr>
      </w:pPr>
      <w:r w:rsidRPr="002E44F9">
        <w:rPr>
          <w:bCs/>
          <w:color w:val="auto"/>
          <w:sz w:val="22"/>
          <w:szCs w:val="22"/>
        </w:rPr>
        <w:t>RASHODI ZA NABAVU NEFINANCIJSKE IMOVINE</w:t>
      </w:r>
    </w:p>
    <w:p w:rsidR="00704B0E" w:rsidRPr="002E44F9" w:rsidRDefault="00704B0E" w:rsidP="00704B0E">
      <w:pPr>
        <w:pStyle w:val="Default"/>
        <w:jc w:val="both"/>
        <w:rPr>
          <w:color w:val="auto"/>
          <w:sz w:val="22"/>
          <w:szCs w:val="22"/>
        </w:rPr>
      </w:pPr>
    </w:p>
    <w:p w:rsidR="00704B0E" w:rsidRPr="002E44F9" w:rsidRDefault="00704B0E" w:rsidP="00704B0E">
      <w:pPr>
        <w:pStyle w:val="Default"/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RASHODI POSLOVANJA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</w:tblGrid>
      <w:tr w:rsidR="00704B0E" w:rsidRPr="002E44F9" w:rsidTr="00E20DEF">
        <w:trPr>
          <w:trHeight w:val="869"/>
        </w:trPr>
        <w:tc>
          <w:tcPr>
            <w:tcW w:w="4395" w:type="dxa"/>
            <w:shd w:val="clear" w:color="auto" w:fill="FFFFFF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Plan</w:t>
            </w:r>
          </w:p>
          <w:p w:rsidR="00704B0E" w:rsidRPr="002E44F9" w:rsidRDefault="00704B0E" w:rsidP="00D052D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201</w:t>
            </w:r>
            <w:r w:rsidR="00D052DE">
              <w:rPr>
                <w:rFonts w:ascii="Times New Roman" w:hAnsi="Times New Roman" w:cs="Times New Roman"/>
              </w:rPr>
              <w:t>8</w:t>
            </w:r>
            <w:r w:rsidRPr="002E44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Izvršenje</w:t>
            </w:r>
          </w:p>
          <w:p w:rsidR="00704B0E" w:rsidRPr="002E44F9" w:rsidRDefault="00704B0E" w:rsidP="00D052D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- 12</w:t>
            </w:r>
            <w:r w:rsidRPr="002E44F9">
              <w:rPr>
                <w:rFonts w:ascii="Times New Roman" w:hAnsi="Times New Roman" w:cs="Times New Roman"/>
              </w:rPr>
              <w:t>. 201</w:t>
            </w:r>
            <w:r w:rsidR="00D052DE">
              <w:rPr>
                <w:rFonts w:ascii="Times New Roman" w:hAnsi="Times New Roman" w:cs="Times New Roman"/>
              </w:rPr>
              <w:t>8</w:t>
            </w:r>
            <w:r w:rsidRPr="002E44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Indeks</w:t>
            </w:r>
          </w:p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2/1</w:t>
            </w:r>
          </w:p>
        </w:tc>
      </w:tr>
      <w:tr w:rsidR="00704B0E" w:rsidRPr="002E44F9" w:rsidTr="00DF61E6">
        <w:trPr>
          <w:trHeight w:val="362"/>
        </w:trPr>
        <w:tc>
          <w:tcPr>
            <w:tcW w:w="4395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</w:t>
            </w:r>
          </w:p>
        </w:tc>
      </w:tr>
      <w:tr w:rsidR="00704B0E" w:rsidRPr="002E44F9" w:rsidTr="00E20DEF">
        <w:trPr>
          <w:trHeight w:val="397"/>
        </w:trPr>
        <w:tc>
          <w:tcPr>
            <w:tcW w:w="4395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Rashodi za zaposlene 31</w:t>
            </w:r>
          </w:p>
        </w:tc>
        <w:tc>
          <w:tcPr>
            <w:tcW w:w="1559" w:type="dxa"/>
            <w:vAlign w:val="center"/>
          </w:tcPr>
          <w:p w:rsidR="00704B0E" w:rsidRPr="002E44F9" w:rsidRDefault="00D052DE" w:rsidP="00D052D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177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231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04B0E" w:rsidRPr="002E44F9" w:rsidRDefault="00D052DE" w:rsidP="00D052D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167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399,97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04B0E" w:rsidRPr="002E44F9" w:rsidRDefault="00704B0E" w:rsidP="00D052D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052D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D052DE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704B0E" w:rsidRPr="002E44F9" w:rsidTr="00E20DEF">
        <w:trPr>
          <w:trHeight w:val="397"/>
        </w:trPr>
        <w:tc>
          <w:tcPr>
            <w:tcW w:w="4395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Materijalni rashodi 32</w:t>
            </w:r>
          </w:p>
        </w:tc>
        <w:tc>
          <w:tcPr>
            <w:tcW w:w="1559" w:type="dxa"/>
            <w:vAlign w:val="center"/>
          </w:tcPr>
          <w:p w:rsidR="00704B0E" w:rsidRPr="002E44F9" w:rsidRDefault="00704B0E" w:rsidP="00CB1A6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B1A6A">
              <w:rPr>
                <w:rFonts w:ascii="Times New Roman" w:hAnsi="Times New Roman" w:cs="Times New Roman"/>
              </w:rPr>
              <w:t>871</w:t>
            </w:r>
            <w:r>
              <w:rPr>
                <w:rFonts w:ascii="Times New Roman" w:hAnsi="Times New Roman" w:cs="Times New Roman"/>
              </w:rPr>
              <w:t>.</w:t>
            </w:r>
            <w:r w:rsidR="00CB1A6A">
              <w:rPr>
                <w:rFonts w:ascii="Times New Roman" w:hAnsi="Times New Roman" w:cs="Times New Roman"/>
              </w:rPr>
              <w:t>607</w:t>
            </w:r>
            <w:r>
              <w:rPr>
                <w:rFonts w:ascii="Times New Roman" w:hAnsi="Times New Roman" w:cs="Times New Roman"/>
              </w:rPr>
              <w:t>,</w:t>
            </w:r>
            <w:r w:rsidR="00CB1A6A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04B0E" w:rsidRPr="002E44F9" w:rsidRDefault="00704B0E" w:rsidP="00CB1A6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B1A6A">
              <w:rPr>
                <w:rFonts w:ascii="Times New Roman" w:hAnsi="Times New Roman" w:cs="Times New Roman"/>
              </w:rPr>
              <w:t>853</w:t>
            </w:r>
            <w:r>
              <w:rPr>
                <w:rFonts w:ascii="Times New Roman" w:hAnsi="Times New Roman" w:cs="Times New Roman"/>
              </w:rPr>
              <w:t>.</w:t>
            </w:r>
            <w:r w:rsidR="00CB1A6A">
              <w:rPr>
                <w:rFonts w:ascii="Times New Roman" w:hAnsi="Times New Roman" w:cs="Times New Roman"/>
              </w:rPr>
              <w:t>711</w:t>
            </w:r>
            <w:r>
              <w:rPr>
                <w:rFonts w:ascii="Times New Roman" w:hAnsi="Times New Roman" w:cs="Times New Roman"/>
              </w:rPr>
              <w:t>,</w:t>
            </w:r>
            <w:r w:rsidR="00CB1A6A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04B0E" w:rsidRPr="002E44F9" w:rsidRDefault="00704B0E" w:rsidP="00CB1A6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B1A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CB1A6A">
              <w:rPr>
                <w:rFonts w:ascii="Times New Roman" w:hAnsi="Times New Roman" w:cs="Times New Roman"/>
              </w:rPr>
              <w:t>38%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B0E" w:rsidRPr="002E44F9" w:rsidTr="00E20DEF">
        <w:trPr>
          <w:trHeight w:val="397"/>
        </w:trPr>
        <w:tc>
          <w:tcPr>
            <w:tcW w:w="4395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Financijski rashodi 34</w:t>
            </w:r>
          </w:p>
        </w:tc>
        <w:tc>
          <w:tcPr>
            <w:tcW w:w="1559" w:type="dxa"/>
            <w:vAlign w:val="center"/>
          </w:tcPr>
          <w:p w:rsidR="00704B0E" w:rsidRPr="002E44F9" w:rsidRDefault="003A54E1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04B0E">
              <w:rPr>
                <w:rFonts w:ascii="Times New Roman" w:hAnsi="Times New Roman" w:cs="Times New Roman"/>
              </w:rPr>
              <w:t xml:space="preserve">.500,00 </w:t>
            </w:r>
          </w:p>
        </w:tc>
        <w:tc>
          <w:tcPr>
            <w:tcW w:w="1843" w:type="dxa"/>
            <w:vAlign w:val="center"/>
          </w:tcPr>
          <w:p w:rsidR="00704B0E" w:rsidRPr="002E44F9" w:rsidRDefault="003A54E1" w:rsidP="003A54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904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04B0E" w:rsidRPr="002E44F9" w:rsidRDefault="003A54E1" w:rsidP="003A54E1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21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  <w:r w:rsidR="00704B0E"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DF61E6" w:rsidRPr="002E44F9" w:rsidTr="00E20DEF">
        <w:trPr>
          <w:trHeight w:val="631"/>
        </w:trPr>
        <w:tc>
          <w:tcPr>
            <w:tcW w:w="4395" w:type="dxa"/>
            <w:vAlign w:val="center"/>
          </w:tcPr>
          <w:p w:rsidR="00DF61E6" w:rsidRPr="002E44F9" w:rsidRDefault="00DF61E6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Subvencije</w:t>
            </w:r>
            <w:r w:rsidR="003E07E6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559" w:type="dxa"/>
            <w:vAlign w:val="center"/>
          </w:tcPr>
          <w:p w:rsidR="00DF61E6" w:rsidRDefault="00DF61E6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480.000,00</w:t>
            </w:r>
          </w:p>
        </w:tc>
        <w:tc>
          <w:tcPr>
            <w:tcW w:w="1843" w:type="dxa"/>
            <w:vAlign w:val="center"/>
          </w:tcPr>
          <w:p w:rsidR="00DF61E6" w:rsidRDefault="00DF61E6" w:rsidP="004823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455.169,85</w:t>
            </w:r>
          </w:p>
        </w:tc>
        <w:tc>
          <w:tcPr>
            <w:tcW w:w="1275" w:type="dxa"/>
            <w:vAlign w:val="center"/>
          </w:tcPr>
          <w:p w:rsidR="00DF61E6" w:rsidRDefault="00DF61E6" w:rsidP="004823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94,83%</w:t>
            </w:r>
          </w:p>
        </w:tc>
      </w:tr>
      <w:tr w:rsidR="00704B0E" w:rsidRPr="002E44F9" w:rsidTr="00E20DEF">
        <w:trPr>
          <w:trHeight w:val="631"/>
        </w:trPr>
        <w:tc>
          <w:tcPr>
            <w:tcW w:w="4395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Pomoći dane u inozemstvo i unutar opće države 36</w:t>
            </w:r>
          </w:p>
        </w:tc>
        <w:tc>
          <w:tcPr>
            <w:tcW w:w="1559" w:type="dxa"/>
            <w:vAlign w:val="center"/>
          </w:tcPr>
          <w:p w:rsidR="00704B0E" w:rsidRPr="002E44F9" w:rsidRDefault="00482388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704B0E">
              <w:rPr>
                <w:rFonts w:ascii="Times New Roman" w:hAnsi="Times New Roman" w:cs="Times New Roman"/>
              </w:rPr>
              <w:t xml:space="preserve">.000,00 </w:t>
            </w:r>
          </w:p>
        </w:tc>
        <w:tc>
          <w:tcPr>
            <w:tcW w:w="1843" w:type="dxa"/>
            <w:vAlign w:val="center"/>
          </w:tcPr>
          <w:p w:rsidR="00704B0E" w:rsidRPr="002E44F9" w:rsidRDefault="00482388" w:rsidP="004823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321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28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04B0E" w:rsidRPr="002E44F9" w:rsidRDefault="00704B0E" w:rsidP="00482388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8238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482388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 xml:space="preserve">% </w:t>
            </w:r>
          </w:p>
        </w:tc>
      </w:tr>
      <w:tr w:rsidR="00704B0E" w:rsidRPr="002E44F9" w:rsidTr="00E20DEF">
        <w:trPr>
          <w:trHeight w:val="397"/>
        </w:trPr>
        <w:tc>
          <w:tcPr>
            <w:tcW w:w="4395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Naknade građanima i kućanstvima 37</w:t>
            </w:r>
          </w:p>
        </w:tc>
        <w:tc>
          <w:tcPr>
            <w:tcW w:w="1559" w:type="dxa"/>
            <w:vAlign w:val="center"/>
          </w:tcPr>
          <w:p w:rsidR="00704B0E" w:rsidRPr="002E44F9" w:rsidRDefault="00CD014A" w:rsidP="00CD014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vAlign w:val="center"/>
          </w:tcPr>
          <w:p w:rsidR="00704B0E" w:rsidRPr="002E44F9" w:rsidRDefault="00CD014A" w:rsidP="00CD014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743</w:t>
            </w:r>
            <w:r w:rsidR="00704B0E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2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04B0E" w:rsidRPr="002E44F9" w:rsidRDefault="00CD014A" w:rsidP="00CD014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06%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B0E" w:rsidRPr="002E44F9" w:rsidTr="00E20DEF">
        <w:trPr>
          <w:trHeight w:val="397"/>
        </w:trPr>
        <w:tc>
          <w:tcPr>
            <w:tcW w:w="4395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Ostali rashodi 38</w:t>
            </w:r>
          </w:p>
        </w:tc>
        <w:tc>
          <w:tcPr>
            <w:tcW w:w="1559" w:type="dxa"/>
            <w:vAlign w:val="center"/>
          </w:tcPr>
          <w:p w:rsidR="00704B0E" w:rsidRPr="002E44F9" w:rsidRDefault="00704B0E" w:rsidP="00CD014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014A">
              <w:rPr>
                <w:rFonts w:ascii="Times New Roman" w:hAnsi="Times New Roman" w:cs="Times New Roman"/>
              </w:rPr>
              <w:t>650</w:t>
            </w:r>
            <w:r>
              <w:rPr>
                <w:rFonts w:ascii="Times New Roman" w:hAnsi="Times New Roman" w:cs="Times New Roman"/>
              </w:rPr>
              <w:t>.</w:t>
            </w:r>
            <w:r w:rsidR="00CD014A">
              <w:rPr>
                <w:rFonts w:ascii="Times New Roman" w:hAnsi="Times New Roman" w:cs="Times New Roman"/>
              </w:rPr>
              <w:t>317</w:t>
            </w:r>
            <w:r>
              <w:rPr>
                <w:rFonts w:ascii="Times New Roman" w:hAnsi="Times New Roman" w:cs="Times New Roman"/>
              </w:rPr>
              <w:t>,</w:t>
            </w:r>
            <w:r w:rsidR="00CD014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04B0E" w:rsidRPr="002E44F9" w:rsidRDefault="00704B0E" w:rsidP="00CD014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D014A">
              <w:rPr>
                <w:rFonts w:ascii="Times New Roman" w:hAnsi="Times New Roman" w:cs="Times New Roman"/>
              </w:rPr>
              <w:t>658</w:t>
            </w:r>
            <w:r>
              <w:rPr>
                <w:rFonts w:ascii="Times New Roman" w:hAnsi="Times New Roman" w:cs="Times New Roman"/>
              </w:rPr>
              <w:t>.</w:t>
            </w:r>
            <w:r w:rsidR="00CD014A">
              <w:rPr>
                <w:rFonts w:ascii="Times New Roman" w:hAnsi="Times New Roman" w:cs="Times New Roman"/>
              </w:rPr>
              <w:t>149</w:t>
            </w:r>
            <w:r>
              <w:rPr>
                <w:rFonts w:ascii="Times New Roman" w:hAnsi="Times New Roman" w:cs="Times New Roman"/>
              </w:rPr>
              <w:t>,</w:t>
            </w:r>
            <w:r w:rsidR="00CD014A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04B0E" w:rsidRPr="002E44F9" w:rsidRDefault="00CD014A" w:rsidP="00CD014A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47%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4B0E" w:rsidRPr="002E44F9" w:rsidTr="00E20DEF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lastRenderedPageBreak/>
              <w:t>U k u p n o:  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4B0E" w:rsidRPr="002E44F9" w:rsidRDefault="00704B0E" w:rsidP="002804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8042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28042B">
              <w:rPr>
                <w:rFonts w:ascii="Times New Roman" w:hAnsi="Times New Roman" w:cs="Times New Roman"/>
                <w:b/>
              </w:rPr>
              <w:t>516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28042B">
              <w:rPr>
                <w:rFonts w:ascii="Times New Roman" w:hAnsi="Times New Roman" w:cs="Times New Roman"/>
                <w:b/>
              </w:rPr>
              <w:t>858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8042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B0E" w:rsidRPr="002E44F9" w:rsidRDefault="00704B0E" w:rsidP="002804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8042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28042B">
              <w:rPr>
                <w:rFonts w:ascii="Times New Roman" w:hAnsi="Times New Roman" w:cs="Times New Roman"/>
                <w:b/>
              </w:rPr>
              <w:t>425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28042B">
              <w:rPr>
                <w:rFonts w:ascii="Times New Roman" w:hAnsi="Times New Roman" w:cs="Times New Roman"/>
                <w:b/>
              </w:rPr>
              <w:t>400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8042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4B0E" w:rsidRPr="002E44F9" w:rsidRDefault="00704B0E" w:rsidP="0028042B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28042B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28042B">
              <w:rPr>
                <w:rFonts w:ascii="Times New Roman" w:hAnsi="Times New Roman" w:cs="Times New Roman"/>
                <w:b/>
              </w:rPr>
              <w:t>04</w:t>
            </w:r>
            <w:r w:rsidRPr="002E44F9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704B0E" w:rsidRPr="00F2522F" w:rsidRDefault="00704B0E" w:rsidP="00704B0E">
      <w:pPr>
        <w:pStyle w:val="Default"/>
        <w:jc w:val="both"/>
        <w:rPr>
          <w:color w:val="FF0000"/>
          <w:sz w:val="22"/>
          <w:szCs w:val="22"/>
        </w:rPr>
      </w:pPr>
    </w:p>
    <w:p w:rsidR="00704B0E" w:rsidRPr="002E44F9" w:rsidRDefault="00704B0E" w:rsidP="00704B0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Rashodi za zaposlene izvršeni su u iznosu od</w:t>
      </w:r>
      <w:r>
        <w:rPr>
          <w:color w:val="auto"/>
          <w:sz w:val="22"/>
          <w:szCs w:val="22"/>
        </w:rPr>
        <w:t xml:space="preserve"> </w:t>
      </w:r>
      <w:r w:rsidR="005136EB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</w:t>
      </w:r>
      <w:r w:rsidR="005136EB">
        <w:rPr>
          <w:color w:val="auto"/>
          <w:sz w:val="22"/>
          <w:szCs w:val="22"/>
        </w:rPr>
        <w:t>167</w:t>
      </w:r>
      <w:r>
        <w:rPr>
          <w:color w:val="auto"/>
          <w:sz w:val="22"/>
          <w:szCs w:val="22"/>
        </w:rPr>
        <w:t>.</w:t>
      </w:r>
      <w:r w:rsidR="005136EB">
        <w:rPr>
          <w:color w:val="auto"/>
          <w:sz w:val="22"/>
          <w:szCs w:val="22"/>
        </w:rPr>
        <w:t>399</w:t>
      </w:r>
      <w:r>
        <w:rPr>
          <w:color w:val="auto"/>
          <w:sz w:val="22"/>
          <w:szCs w:val="22"/>
        </w:rPr>
        <w:t>,</w:t>
      </w:r>
      <w:r w:rsidR="005136EB">
        <w:rPr>
          <w:color w:val="auto"/>
          <w:sz w:val="22"/>
          <w:szCs w:val="22"/>
        </w:rPr>
        <w:t>97</w:t>
      </w:r>
      <w:r>
        <w:rPr>
          <w:color w:val="auto"/>
          <w:sz w:val="22"/>
          <w:szCs w:val="22"/>
        </w:rPr>
        <w:t xml:space="preserve"> </w:t>
      </w:r>
      <w:r w:rsidRPr="002E44F9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9</w:t>
      </w:r>
      <w:r w:rsidR="005136EB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,</w:t>
      </w:r>
      <w:r w:rsidR="005136EB">
        <w:rPr>
          <w:color w:val="auto"/>
          <w:sz w:val="22"/>
          <w:szCs w:val="22"/>
        </w:rPr>
        <w:t>69</w:t>
      </w:r>
      <w:r w:rsidRPr="002E44F9">
        <w:rPr>
          <w:color w:val="auto"/>
          <w:sz w:val="22"/>
          <w:szCs w:val="22"/>
        </w:rPr>
        <w:t>%</w:t>
      </w:r>
      <w:r w:rsidRPr="002E44F9">
        <w:rPr>
          <w:color w:val="auto"/>
        </w:rPr>
        <w:t xml:space="preserve"> </w:t>
      </w:r>
      <w:r w:rsidRPr="002E44F9">
        <w:rPr>
          <w:color w:val="auto"/>
          <w:sz w:val="22"/>
          <w:szCs w:val="22"/>
        </w:rPr>
        <w:t>odnose se na rashode za bruto plaće uposlenih dužnosnika, djelatnika</w:t>
      </w:r>
      <w:r>
        <w:rPr>
          <w:color w:val="auto"/>
          <w:sz w:val="22"/>
          <w:szCs w:val="22"/>
        </w:rPr>
        <w:t xml:space="preserve"> JUO i  djelatnika</w:t>
      </w:r>
      <w:r w:rsidRPr="002E44F9">
        <w:rPr>
          <w:color w:val="auto"/>
          <w:sz w:val="22"/>
          <w:szCs w:val="22"/>
        </w:rPr>
        <w:t xml:space="preserve"> javnih radova.</w:t>
      </w:r>
    </w:p>
    <w:p w:rsidR="00704B0E" w:rsidRPr="002E44F9" w:rsidRDefault="00704B0E" w:rsidP="00704B0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>Materijalni rashodi izvršeni su u izno</w:t>
      </w:r>
      <w:r>
        <w:rPr>
          <w:color w:val="auto"/>
          <w:sz w:val="22"/>
          <w:szCs w:val="22"/>
        </w:rPr>
        <w:t>su od 2.</w:t>
      </w:r>
      <w:r w:rsidR="005136EB">
        <w:rPr>
          <w:color w:val="auto"/>
          <w:sz w:val="22"/>
          <w:szCs w:val="22"/>
        </w:rPr>
        <w:t>853</w:t>
      </w:r>
      <w:r>
        <w:rPr>
          <w:color w:val="auto"/>
          <w:sz w:val="22"/>
          <w:szCs w:val="22"/>
        </w:rPr>
        <w:t>.</w:t>
      </w:r>
      <w:r w:rsidR="005136EB">
        <w:rPr>
          <w:color w:val="auto"/>
          <w:sz w:val="22"/>
          <w:szCs w:val="22"/>
        </w:rPr>
        <w:t>711</w:t>
      </w:r>
      <w:r>
        <w:rPr>
          <w:color w:val="auto"/>
          <w:sz w:val="22"/>
          <w:szCs w:val="22"/>
        </w:rPr>
        <w:t>,</w:t>
      </w:r>
      <w:r w:rsidR="005136EB">
        <w:rPr>
          <w:color w:val="auto"/>
          <w:sz w:val="22"/>
          <w:szCs w:val="22"/>
        </w:rPr>
        <w:t>95</w:t>
      </w:r>
      <w:r w:rsidRPr="002E44F9">
        <w:rPr>
          <w:color w:val="auto"/>
          <w:sz w:val="22"/>
          <w:szCs w:val="22"/>
        </w:rPr>
        <w:t xml:space="preserve"> kn ili </w:t>
      </w:r>
      <w:r>
        <w:rPr>
          <w:color w:val="auto"/>
          <w:sz w:val="22"/>
          <w:szCs w:val="22"/>
        </w:rPr>
        <w:t>9</w:t>
      </w:r>
      <w:r w:rsidR="005136EB">
        <w:rPr>
          <w:color w:val="auto"/>
          <w:sz w:val="22"/>
          <w:szCs w:val="22"/>
        </w:rPr>
        <w:t>9</w:t>
      </w:r>
      <w:r>
        <w:rPr>
          <w:color w:val="auto"/>
          <w:sz w:val="22"/>
          <w:szCs w:val="22"/>
        </w:rPr>
        <w:t>,</w:t>
      </w:r>
      <w:r w:rsidR="005136EB">
        <w:rPr>
          <w:color w:val="auto"/>
          <w:sz w:val="22"/>
          <w:szCs w:val="22"/>
        </w:rPr>
        <w:t>38</w:t>
      </w:r>
      <w:r w:rsidRPr="002E44F9">
        <w:rPr>
          <w:color w:val="auto"/>
          <w:sz w:val="22"/>
          <w:szCs w:val="22"/>
        </w:rPr>
        <w:t xml:space="preserve">% čine ih naknade troškova zaposlenih, rashodi za materijal i energiju, rashodi za usluge, naknade troškova osoba izvan radnog odnosa (stručno osposobljavanje) i ostali nespomenuti rashodi. </w:t>
      </w:r>
    </w:p>
    <w:p w:rsidR="00704B0E" w:rsidRDefault="00704B0E" w:rsidP="00704B0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Financijski rashodi izvršeni su iznosu </w:t>
      </w:r>
      <w:r w:rsidR="005136EB">
        <w:rPr>
          <w:color w:val="auto"/>
          <w:sz w:val="22"/>
          <w:szCs w:val="22"/>
        </w:rPr>
        <w:t>21</w:t>
      </w:r>
      <w:r>
        <w:rPr>
          <w:color w:val="auto"/>
          <w:sz w:val="22"/>
          <w:szCs w:val="22"/>
        </w:rPr>
        <w:t>.</w:t>
      </w:r>
      <w:r w:rsidR="005136EB">
        <w:rPr>
          <w:color w:val="auto"/>
          <w:sz w:val="22"/>
          <w:szCs w:val="22"/>
        </w:rPr>
        <w:t>904</w:t>
      </w:r>
      <w:r>
        <w:rPr>
          <w:color w:val="auto"/>
          <w:sz w:val="22"/>
          <w:szCs w:val="22"/>
        </w:rPr>
        <w:t>,</w:t>
      </w:r>
      <w:r w:rsidR="005136EB">
        <w:rPr>
          <w:color w:val="auto"/>
          <w:sz w:val="22"/>
          <w:szCs w:val="22"/>
        </w:rPr>
        <w:t>20</w:t>
      </w:r>
      <w:r w:rsidRPr="002E44F9">
        <w:rPr>
          <w:color w:val="auto"/>
          <w:sz w:val="22"/>
          <w:szCs w:val="22"/>
        </w:rPr>
        <w:t xml:space="preserve"> kn ili </w:t>
      </w:r>
      <w:r w:rsidR="005136EB">
        <w:rPr>
          <w:color w:val="auto"/>
          <w:sz w:val="22"/>
          <w:szCs w:val="22"/>
        </w:rPr>
        <w:t>36</w:t>
      </w:r>
      <w:r>
        <w:rPr>
          <w:color w:val="auto"/>
          <w:sz w:val="22"/>
          <w:szCs w:val="22"/>
        </w:rPr>
        <w:t>,</w:t>
      </w:r>
      <w:r w:rsidR="005136EB">
        <w:rPr>
          <w:color w:val="auto"/>
          <w:sz w:val="22"/>
          <w:szCs w:val="22"/>
        </w:rPr>
        <w:t>21</w:t>
      </w:r>
      <w:r w:rsidRPr="002E44F9">
        <w:rPr>
          <w:color w:val="auto"/>
          <w:sz w:val="22"/>
          <w:szCs w:val="22"/>
        </w:rPr>
        <w:t>% u odnosu na planirano. Ovaj rashod čine bankarske usluge i usluge platnog prometa.</w:t>
      </w:r>
    </w:p>
    <w:p w:rsidR="00704B0E" w:rsidRDefault="00704B0E" w:rsidP="00704B0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Subvencije iznose </w:t>
      </w:r>
      <w:r w:rsidR="00DF61E6">
        <w:rPr>
          <w:color w:val="auto"/>
          <w:sz w:val="22"/>
          <w:szCs w:val="22"/>
        </w:rPr>
        <w:t>455.169,85</w:t>
      </w:r>
      <w:r>
        <w:rPr>
          <w:color w:val="auto"/>
          <w:sz w:val="22"/>
          <w:szCs w:val="22"/>
        </w:rPr>
        <w:t xml:space="preserve">kn, što je </w:t>
      </w:r>
      <w:r w:rsidR="00DF61E6">
        <w:rPr>
          <w:color w:val="auto"/>
          <w:sz w:val="22"/>
          <w:szCs w:val="22"/>
        </w:rPr>
        <w:t>94,83</w:t>
      </w:r>
      <w:r>
        <w:rPr>
          <w:color w:val="auto"/>
          <w:sz w:val="22"/>
          <w:szCs w:val="22"/>
        </w:rPr>
        <w:t>% od planiranog, a odnosi se pomoći i subvencije poljoprivrednicima u proizvodnji luka, lubenica, graha .</w:t>
      </w:r>
    </w:p>
    <w:p w:rsidR="00704B0E" w:rsidRPr="000A3733" w:rsidRDefault="00704B0E" w:rsidP="00704B0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Pomoći dane drugima proračunskim korisnicima iznose </w:t>
      </w:r>
      <w:r w:rsidR="003E07E6">
        <w:rPr>
          <w:color w:val="auto"/>
          <w:sz w:val="22"/>
          <w:szCs w:val="22"/>
        </w:rPr>
        <w:t>341</w:t>
      </w:r>
      <w:r>
        <w:rPr>
          <w:color w:val="auto"/>
          <w:sz w:val="22"/>
          <w:szCs w:val="22"/>
        </w:rPr>
        <w:t>.</w:t>
      </w:r>
      <w:r w:rsidR="003E07E6">
        <w:rPr>
          <w:color w:val="auto"/>
          <w:sz w:val="22"/>
          <w:szCs w:val="22"/>
        </w:rPr>
        <w:t>321</w:t>
      </w:r>
      <w:r>
        <w:rPr>
          <w:color w:val="auto"/>
          <w:sz w:val="22"/>
          <w:szCs w:val="22"/>
        </w:rPr>
        <w:t>,</w:t>
      </w:r>
      <w:r w:rsidR="003E07E6">
        <w:rPr>
          <w:color w:val="auto"/>
          <w:sz w:val="22"/>
          <w:szCs w:val="22"/>
        </w:rPr>
        <w:t>28</w:t>
      </w:r>
      <w:r>
        <w:rPr>
          <w:color w:val="auto"/>
          <w:sz w:val="22"/>
          <w:szCs w:val="22"/>
        </w:rPr>
        <w:t>, što je 9</w:t>
      </w:r>
      <w:r w:rsidR="003E07E6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>,</w:t>
      </w:r>
      <w:r w:rsidR="003E07E6">
        <w:rPr>
          <w:color w:val="auto"/>
          <w:sz w:val="22"/>
          <w:szCs w:val="22"/>
        </w:rPr>
        <w:t>52</w:t>
      </w:r>
      <w:r>
        <w:rPr>
          <w:color w:val="auto"/>
          <w:sz w:val="22"/>
          <w:szCs w:val="22"/>
        </w:rPr>
        <w:t>% od planiranog, a odnosi se na sufinaciranje troškova rada vrtića u Tovarniku.</w:t>
      </w:r>
    </w:p>
    <w:p w:rsidR="00704B0E" w:rsidRPr="002E44F9" w:rsidRDefault="00704B0E" w:rsidP="00704B0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Naknade građanima i kućanstvima na temelju osiguranja i druge naknade realizirane su u iznosu od </w:t>
      </w:r>
      <w:r w:rsidR="003B1734">
        <w:rPr>
          <w:color w:val="auto"/>
          <w:sz w:val="22"/>
          <w:szCs w:val="22"/>
        </w:rPr>
        <w:t>927.743</w:t>
      </w:r>
      <w:r>
        <w:rPr>
          <w:color w:val="auto"/>
          <w:sz w:val="22"/>
          <w:szCs w:val="22"/>
        </w:rPr>
        <w:t>,</w:t>
      </w:r>
      <w:r w:rsidR="003B1734">
        <w:rPr>
          <w:color w:val="auto"/>
          <w:sz w:val="22"/>
          <w:szCs w:val="22"/>
        </w:rPr>
        <w:t>92</w:t>
      </w:r>
      <w:r w:rsidRPr="002E44F9">
        <w:rPr>
          <w:color w:val="auto"/>
          <w:sz w:val="22"/>
          <w:szCs w:val="22"/>
        </w:rPr>
        <w:t xml:space="preserve"> ili </w:t>
      </w:r>
      <w:r w:rsidR="003B1734">
        <w:rPr>
          <w:color w:val="auto"/>
          <w:sz w:val="22"/>
          <w:szCs w:val="22"/>
        </w:rPr>
        <w:t>100</w:t>
      </w:r>
      <w:r>
        <w:rPr>
          <w:color w:val="auto"/>
          <w:sz w:val="22"/>
          <w:szCs w:val="22"/>
        </w:rPr>
        <w:t>,</w:t>
      </w:r>
      <w:r w:rsidR="003B1734">
        <w:rPr>
          <w:color w:val="auto"/>
          <w:sz w:val="22"/>
          <w:szCs w:val="22"/>
        </w:rPr>
        <w:t>06</w:t>
      </w:r>
      <w:r w:rsidRPr="002E44F9">
        <w:rPr>
          <w:color w:val="auto"/>
          <w:sz w:val="22"/>
          <w:szCs w:val="22"/>
        </w:rPr>
        <w:t>%. Najveći dio sredstava odnose se na sufinanciranje cijene karata za prijevoza srednjoškolaca, troškove stanovanja, naknade za svako novorođeno dijete, jednokratne pomoći</w:t>
      </w:r>
      <w:r>
        <w:rPr>
          <w:color w:val="auto"/>
          <w:sz w:val="22"/>
          <w:szCs w:val="22"/>
        </w:rPr>
        <w:t>, naknade za  sufinanciranje udžbenika učenicima OŠ, naknade za ogrijev, kupovinu božićnih paketića za predškolsku i školsku djecu</w:t>
      </w:r>
      <w:r w:rsidRPr="002E44F9">
        <w:rPr>
          <w:color w:val="auto"/>
          <w:sz w:val="22"/>
          <w:szCs w:val="22"/>
        </w:rPr>
        <w:t>.</w:t>
      </w:r>
    </w:p>
    <w:p w:rsidR="00704B0E" w:rsidRPr="002E44F9" w:rsidRDefault="00704B0E" w:rsidP="00704B0E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2E44F9">
        <w:rPr>
          <w:color w:val="auto"/>
          <w:sz w:val="22"/>
          <w:szCs w:val="22"/>
        </w:rPr>
        <w:t xml:space="preserve">Ostali rashodi realizirani su u iznosu od </w:t>
      </w:r>
      <w:r w:rsidR="003B1734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</w:t>
      </w:r>
      <w:r w:rsidR="003B1734">
        <w:rPr>
          <w:color w:val="auto"/>
          <w:sz w:val="22"/>
          <w:szCs w:val="22"/>
        </w:rPr>
        <w:t>658</w:t>
      </w:r>
      <w:r>
        <w:rPr>
          <w:color w:val="auto"/>
          <w:sz w:val="22"/>
          <w:szCs w:val="22"/>
        </w:rPr>
        <w:t>.</w:t>
      </w:r>
      <w:r w:rsidR="003B1734">
        <w:rPr>
          <w:color w:val="auto"/>
          <w:sz w:val="22"/>
          <w:szCs w:val="22"/>
        </w:rPr>
        <w:t>149</w:t>
      </w:r>
      <w:r>
        <w:rPr>
          <w:color w:val="auto"/>
          <w:sz w:val="22"/>
          <w:szCs w:val="22"/>
        </w:rPr>
        <w:t>,</w:t>
      </w:r>
      <w:r w:rsidR="003B1734">
        <w:rPr>
          <w:color w:val="auto"/>
          <w:sz w:val="22"/>
          <w:szCs w:val="22"/>
        </w:rPr>
        <w:t>51</w:t>
      </w:r>
      <w:r>
        <w:rPr>
          <w:color w:val="auto"/>
          <w:sz w:val="22"/>
          <w:szCs w:val="22"/>
        </w:rPr>
        <w:t xml:space="preserve"> kn ili </w:t>
      </w:r>
      <w:r w:rsidR="003B1734">
        <w:rPr>
          <w:color w:val="auto"/>
          <w:sz w:val="22"/>
          <w:szCs w:val="22"/>
        </w:rPr>
        <w:t>100</w:t>
      </w:r>
      <w:r>
        <w:rPr>
          <w:color w:val="auto"/>
          <w:sz w:val="22"/>
          <w:szCs w:val="22"/>
        </w:rPr>
        <w:t>,</w:t>
      </w:r>
      <w:r w:rsidR="003B1734">
        <w:rPr>
          <w:color w:val="auto"/>
          <w:sz w:val="22"/>
          <w:szCs w:val="22"/>
        </w:rPr>
        <w:t>47</w:t>
      </w:r>
      <w:r w:rsidRPr="002E44F9">
        <w:rPr>
          <w:color w:val="auto"/>
          <w:sz w:val="22"/>
          <w:szCs w:val="22"/>
        </w:rPr>
        <w:t>%. Odnose  se na tekuće donacije u novcu udrugama građana, neprofitnim orga</w:t>
      </w:r>
      <w:r>
        <w:rPr>
          <w:color w:val="auto"/>
          <w:sz w:val="22"/>
          <w:szCs w:val="22"/>
        </w:rPr>
        <w:t xml:space="preserve">nizacijama,športskim društvima, DVD-u,te naknade štete pravnim i fizičkim osobama </w:t>
      </w:r>
      <w:r w:rsidRPr="002E44F9">
        <w:rPr>
          <w:color w:val="auto"/>
          <w:sz w:val="22"/>
          <w:szCs w:val="22"/>
        </w:rPr>
        <w:t xml:space="preserve"> i sl.</w:t>
      </w:r>
    </w:p>
    <w:p w:rsidR="00704B0E" w:rsidRPr="00005984" w:rsidRDefault="00704B0E" w:rsidP="00704B0E">
      <w:pPr>
        <w:pStyle w:val="Default"/>
        <w:jc w:val="both"/>
        <w:rPr>
          <w:color w:val="auto"/>
          <w:sz w:val="22"/>
          <w:szCs w:val="22"/>
        </w:rPr>
      </w:pPr>
    </w:p>
    <w:p w:rsidR="00704B0E" w:rsidRPr="00005984" w:rsidRDefault="00704B0E" w:rsidP="00704B0E">
      <w:pPr>
        <w:pStyle w:val="Default"/>
        <w:jc w:val="both"/>
        <w:rPr>
          <w:bCs/>
          <w:color w:val="auto"/>
          <w:sz w:val="22"/>
          <w:szCs w:val="22"/>
        </w:rPr>
      </w:pPr>
      <w:r w:rsidRPr="00005984">
        <w:rPr>
          <w:bCs/>
          <w:color w:val="auto"/>
          <w:sz w:val="22"/>
          <w:szCs w:val="22"/>
        </w:rPr>
        <w:t>RASHODI ZA NABAVU NEFINANCIJSKE IMOVINE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</w:tblGrid>
      <w:tr w:rsidR="00704B0E" w:rsidRPr="002E44F9" w:rsidTr="00E20DEF">
        <w:tc>
          <w:tcPr>
            <w:tcW w:w="4395" w:type="dxa"/>
            <w:shd w:val="clear" w:color="auto" w:fill="FFFFFF"/>
            <w:vAlign w:val="center"/>
          </w:tcPr>
          <w:p w:rsidR="00704B0E" w:rsidRPr="002E44F9" w:rsidRDefault="00704B0E" w:rsidP="00E20DEF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704B0E" w:rsidRPr="002E44F9" w:rsidRDefault="00704B0E" w:rsidP="00E20DEF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2E44F9">
              <w:rPr>
                <w:bCs/>
                <w:color w:val="auto"/>
                <w:sz w:val="22"/>
                <w:szCs w:val="22"/>
              </w:rPr>
              <w:t>RASHODI ZA NABAVU NEFINANCIJSKE IMOVINE</w:t>
            </w:r>
          </w:p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Plan</w:t>
            </w:r>
          </w:p>
          <w:p w:rsidR="00704B0E" w:rsidRPr="002E44F9" w:rsidRDefault="00704B0E" w:rsidP="00AC70D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201</w:t>
            </w:r>
            <w:r w:rsidR="00AC70DE">
              <w:rPr>
                <w:rFonts w:ascii="Times New Roman" w:hAnsi="Times New Roman" w:cs="Times New Roman"/>
                <w:b/>
              </w:rPr>
              <w:t>8</w:t>
            </w:r>
            <w:r w:rsidRPr="002E44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Izvršenje</w:t>
            </w:r>
          </w:p>
          <w:p w:rsidR="00704B0E" w:rsidRPr="002E44F9" w:rsidRDefault="00704B0E" w:rsidP="00AC70DE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 xml:space="preserve">01. -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2E44F9">
              <w:rPr>
                <w:rFonts w:ascii="Times New Roman" w:hAnsi="Times New Roman" w:cs="Times New Roman"/>
                <w:b/>
              </w:rPr>
              <w:t>. 201</w:t>
            </w:r>
            <w:r w:rsidR="00AC70DE">
              <w:rPr>
                <w:rFonts w:ascii="Times New Roman" w:hAnsi="Times New Roman" w:cs="Times New Roman"/>
                <w:b/>
              </w:rPr>
              <w:t>8</w:t>
            </w:r>
            <w:r w:rsidRPr="002E44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Indeks</w:t>
            </w:r>
          </w:p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2E44F9">
              <w:rPr>
                <w:rFonts w:ascii="Times New Roman" w:hAnsi="Times New Roman" w:cs="Times New Roman"/>
                <w:b/>
              </w:rPr>
              <w:t>2/1</w:t>
            </w:r>
          </w:p>
        </w:tc>
      </w:tr>
      <w:tr w:rsidR="00704B0E" w:rsidRPr="002E44F9" w:rsidTr="00E20DEF">
        <w:trPr>
          <w:trHeight w:val="340"/>
        </w:trPr>
        <w:tc>
          <w:tcPr>
            <w:tcW w:w="4395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>3</w:t>
            </w:r>
          </w:p>
        </w:tc>
      </w:tr>
      <w:tr w:rsidR="00704B0E" w:rsidRPr="002E44F9" w:rsidTr="00E20DEF">
        <w:trPr>
          <w:trHeight w:val="397"/>
        </w:trPr>
        <w:tc>
          <w:tcPr>
            <w:tcW w:w="4395" w:type="dxa"/>
            <w:vAlign w:val="center"/>
          </w:tcPr>
          <w:p w:rsidR="00704B0E" w:rsidRPr="002E44F9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E44F9">
              <w:rPr>
                <w:rFonts w:ascii="Times New Roman" w:hAnsi="Times New Roman" w:cs="Times New Roman"/>
              </w:rPr>
              <w:t xml:space="preserve">Rashodi za nabavu </w:t>
            </w:r>
            <w:r w:rsidR="006B27EF">
              <w:rPr>
                <w:rFonts w:ascii="Times New Roman" w:hAnsi="Times New Roman" w:cs="Times New Roman"/>
              </w:rPr>
              <w:t>ne</w:t>
            </w:r>
            <w:r w:rsidRPr="002E44F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roizvedene dugotrajne imovine 41</w:t>
            </w:r>
          </w:p>
        </w:tc>
        <w:tc>
          <w:tcPr>
            <w:tcW w:w="1559" w:type="dxa"/>
            <w:vAlign w:val="center"/>
          </w:tcPr>
          <w:p w:rsidR="00704B0E" w:rsidRPr="002E44F9" w:rsidRDefault="006B27EF" w:rsidP="006B27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04B0E" w:rsidRPr="002E44F9" w:rsidRDefault="006B27EF" w:rsidP="006B27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704B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="00704B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04B0E" w:rsidRPr="002E44F9" w:rsidRDefault="006B27EF" w:rsidP="006B27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04B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704B0E">
              <w:rPr>
                <w:rFonts w:ascii="Times New Roman" w:hAnsi="Times New Roman" w:cs="Times New Roman"/>
              </w:rPr>
              <w:t xml:space="preserve">0 </w:t>
            </w:r>
            <w:r w:rsidR="00704B0E" w:rsidRPr="002E44F9">
              <w:rPr>
                <w:rFonts w:ascii="Times New Roman" w:hAnsi="Times New Roman" w:cs="Times New Roman"/>
              </w:rPr>
              <w:t>%</w:t>
            </w:r>
          </w:p>
        </w:tc>
      </w:tr>
      <w:tr w:rsidR="006B27EF" w:rsidRPr="0094797A" w:rsidTr="00E20DEF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6B27EF" w:rsidRPr="006B27EF" w:rsidRDefault="006B27EF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6B27EF">
              <w:rPr>
                <w:rFonts w:ascii="Times New Roman" w:hAnsi="Times New Roman" w:cs="Times New Roman"/>
              </w:rPr>
              <w:t>Rashodi za nabavu proizvedene dugotrajne imovine 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27EF" w:rsidRPr="006B27EF" w:rsidRDefault="006B27EF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B27EF">
              <w:rPr>
                <w:rFonts w:ascii="Times New Roman" w:hAnsi="Times New Roman" w:cs="Times New Roman"/>
              </w:rPr>
              <w:t>3.114.317,13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27EF" w:rsidRPr="006B27EF" w:rsidRDefault="006B27EF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B27EF">
              <w:rPr>
                <w:rFonts w:ascii="Times New Roman" w:hAnsi="Times New Roman" w:cs="Times New Roman"/>
              </w:rPr>
              <w:t>3.177.575,41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27EF" w:rsidRPr="006B27EF" w:rsidRDefault="006B27EF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7EF">
              <w:rPr>
                <w:rFonts w:ascii="Times New Roman" w:hAnsi="Times New Roman" w:cs="Times New Roman"/>
              </w:rPr>
              <w:t>102,03%</w:t>
            </w:r>
          </w:p>
        </w:tc>
      </w:tr>
      <w:tr w:rsidR="006B27EF" w:rsidRPr="0094797A" w:rsidTr="00E20DEF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6B27EF" w:rsidRPr="006B27EF" w:rsidRDefault="006B27EF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Rashodi za dodatna ulaganja </w:t>
            </w:r>
            <w:r w:rsidRPr="006B27E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B27EF" w:rsidRPr="006B27EF" w:rsidRDefault="006B27EF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B27EF">
              <w:rPr>
                <w:rFonts w:ascii="Times New Roman" w:hAnsi="Times New Roman" w:cs="Times New Roman"/>
              </w:rPr>
              <w:t>580.000,00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B27EF" w:rsidRPr="006B27EF" w:rsidRDefault="006B27EF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</w:rPr>
            </w:pPr>
            <w:r w:rsidRPr="006B27EF">
              <w:rPr>
                <w:rFonts w:ascii="Times New Roman" w:hAnsi="Times New Roman" w:cs="Times New Roman"/>
              </w:rPr>
              <w:t>340.057,15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B27EF" w:rsidRPr="006B27EF" w:rsidRDefault="006B27EF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6B27EF">
              <w:rPr>
                <w:rFonts w:ascii="Times New Roman" w:hAnsi="Times New Roman" w:cs="Times New Roman"/>
              </w:rPr>
              <w:t>58,63%</w:t>
            </w:r>
          </w:p>
        </w:tc>
      </w:tr>
      <w:tr w:rsidR="00704B0E" w:rsidRPr="0094797A" w:rsidTr="00E20DEF">
        <w:trPr>
          <w:trHeight w:val="454"/>
        </w:trPr>
        <w:tc>
          <w:tcPr>
            <w:tcW w:w="4395" w:type="dxa"/>
            <w:shd w:val="clear" w:color="auto" w:fill="FFFFFF"/>
            <w:vAlign w:val="center"/>
          </w:tcPr>
          <w:p w:rsidR="00704B0E" w:rsidRPr="0094797A" w:rsidRDefault="00704B0E" w:rsidP="00E20D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94797A">
              <w:rPr>
                <w:rFonts w:ascii="Times New Roman" w:hAnsi="Times New Roman" w:cs="Times New Roman"/>
                <w:b/>
              </w:rPr>
              <w:t>U k u p n o:  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04B0E" w:rsidRPr="0094797A" w:rsidRDefault="006B27EF" w:rsidP="006B27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04B0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861</w:t>
            </w:r>
            <w:r w:rsidR="00704B0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317</w:t>
            </w:r>
            <w:r w:rsidR="00704B0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="00704B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04B0E" w:rsidRPr="0094797A" w:rsidRDefault="006B27EF" w:rsidP="006B27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04B0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684</w:t>
            </w:r>
            <w:r w:rsidR="00704B0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632,56</w:t>
            </w:r>
            <w:r w:rsidR="00704B0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704B0E" w:rsidRPr="0094797A" w:rsidRDefault="00704B0E" w:rsidP="006B27E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</w:t>
            </w:r>
            <w:r w:rsidR="006B27EF">
              <w:rPr>
                <w:rFonts w:ascii="Times New Roman" w:hAnsi="Times New Roman" w:cs="Times New Roman"/>
                <w:b/>
              </w:rPr>
              <w:t>42</w:t>
            </w:r>
            <w:r w:rsidR="00807167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704B0E" w:rsidRPr="00F2522F" w:rsidRDefault="00704B0E" w:rsidP="00704B0E">
      <w:pPr>
        <w:pStyle w:val="Default"/>
        <w:jc w:val="both"/>
        <w:rPr>
          <w:bCs/>
          <w:color w:val="FF0000"/>
          <w:sz w:val="22"/>
          <w:szCs w:val="22"/>
        </w:rPr>
      </w:pPr>
    </w:p>
    <w:p w:rsidR="00704B0E" w:rsidRPr="002233CC" w:rsidRDefault="00704B0E" w:rsidP="00704B0E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2233CC">
        <w:rPr>
          <w:color w:val="auto"/>
          <w:sz w:val="22"/>
          <w:szCs w:val="22"/>
        </w:rPr>
        <w:t xml:space="preserve">Rashodi za nabavu proizvedenu dugotrajnu imovinu realizirani su u iznosu od </w:t>
      </w:r>
      <w:r w:rsidR="00807167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.</w:t>
      </w:r>
      <w:r w:rsidR="00807167">
        <w:rPr>
          <w:color w:val="auto"/>
          <w:sz w:val="22"/>
          <w:szCs w:val="22"/>
        </w:rPr>
        <w:t>177</w:t>
      </w:r>
      <w:r>
        <w:rPr>
          <w:color w:val="auto"/>
          <w:sz w:val="22"/>
          <w:szCs w:val="22"/>
        </w:rPr>
        <w:t>.</w:t>
      </w:r>
      <w:r w:rsidR="00807167">
        <w:rPr>
          <w:color w:val="auto"/>
          <w:sz w:val="22"/>
          <w:szCs w:val="22"/>
        </w:rPr>
        <w:t>575</w:t>
      </w:r>
      <w:r>
        <w:rPr>
          <w:color w:val="auto"/>
          <w:sz w:val="22"/>
          <w:szCs w:val="22"/>
        </w:rPr>
        <w:t>,</w:t>
      </w:r>
      <w:r w:rsidR="00807167">
        <w:rPr>
          <w:color w:val="auto"/>
          <w:sz w:val="22"/>
          <w:szCs w:val="22"/>
        </w:rPr>
        <w:t>41</w:t>
      </w:r>
      <w:r>
        <w:rPr>
          <w:color w:val="auto"/>
          <w:sz w:val="22"/>
          <w:szCs w:val="22"/>
        </w:rPr>
        <w:t xml:space="preserve"> kn., a odn</w:t>
      </w:r>
      <w:r w:rsidR="00A46FA7">
        <w:rPr>
          <w:color w:val="auto"/>
          <w:sz w:val="22"/>
          <w:szCs w:val="22"/>
        </w:rPr>
        <w:t xml:space="preserve">ose se na izgradnju parkirališta na loakciji Tovarnik, A.G.Matoša centra </w:t>
      </w:r>
      <w:r w:rsidR="00A46FA7" w:rsidRPr="00A46FA7">
        <w:rPr>
          <w:color w:val="auto"/>
          <w:sz w:val="22"/>
          <w:szCs w:val="22"/>
        </w:rPr>
        <w:t>543.540,11</w:t>
      </w:r>
      <w:r w:rsidR="00A46FA7">
        <w:rPr>
          <w:color w:val="auto"/>
          <w:sz w:val="22"/>
          <w:szCs w:val="22"/>
        </w:rPr>
        <w:t xml:space="preserve"> kn, izgradnaj vodocrpilišta u B.Jelačića  171.429,90 kn,</w:t>
      </w:r>
      <w:r w:rsidR="007A4E1D">
        <w:rPr>
          <w:color w:val="auto"/>
          <w:sz w:val="22"/>
          <w:szCs w:val="22"/>
        </w:rPr>
        <w:t xml:space="preserve"> održavanje nerazvrstanih cesta u Ilači M.Gupca 237.685,94kn i u izgradnji cesta u Tovarniku prema pravoslavnom groblju i u M.Petrušića 783.607,19 kn</w:t>
      </w:r>
      <w:r w:rsidR="00807167">
        <w:rPr>
          <w:color w:val="auto"/>
          <w:sz w:val="22"/>
          <w:szCs w:val="22"/>
        </w:rPr>
        <w:t>,</w:t>
      </w:r>
      <w:r w:rsidR="007A4E1D">
        <w:rPr>
          <w:color w:val="auto"/>
          <w:sz w:val="22"/>
          <w:szCs w:val="22"/>
        </w:rPr>
        <w:t xml:space="preserve"> parkiralište uz pravoslano grobčje 45.000,00</w:t>
      </w:r>
      <w:r w:rsidR="00094547">
        <w:rPr>
          <w:color w:val="auto"/>
          <w:sz w:val="22"/>
          <w:szCs w:val="22"/>
        </w:rPr>
        <w:t>, službena vozila 328.925,00, nogostupi Tovarnik i Ilača 301.763,73kn, sanacija stare ambulante I faza 298.854,08kn, opr</w:t>
      </w:r>
      <w:r w:rsidR="002255A6">
        <w:rPr>
          <w:color w:val="auto"/>
          <w:sz w:val="22"/>
          <w:szCs w:val="22"/>
        </w:rPr>
        <w:t>emanje Vile Tovarnik 199.950,65, sjedlice za tribine NK Hajdnuk Tovarnik 25.129,08kn, otresnice i poljski putevi 201.873,40kn.</w:t>
      </w:r>
    </w:p>
    <w:p w:rsidR="00704B0E" w:rsidRPr="00F2522F" w:rsidRDefault="00704B0E" w:rsidP="00704B0E">
      <w:pPr>
        <w:pStyle w:val="Default"/>
        <w:jc w:val="both"/>
        <w:rPr>
          <w:color w:val="FF0000"/>
          <w:sz w:val="22"/>
          <w:szCs w:val="22"/>
        </w:rPr>
      </w:pPr>
    </w:p>
    <w:p w:rsidR="00704B0E" w:rsidRPr="00F2522F" w:rsidRDefault="00704B0E" w:rsidP="00704B0E">
      <w:pPr>
        <w:pStyle w:val="Default"/>
        <w:jc w:val="both"/>
        <w:rPr>
          <w:color w:val="FF0000"/>
          <w:sz w:val="22"/>
          <w:szCs w:val="22"/>
        </w:rPr>
      </w:pPr>
    </w:p>
    <w:p w:rsidR="00704B0E" w:rsidRPr="00E90FA1" w:rsidRDefault="00704B0E" w:rsidP="00704B0E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b/>
          <w:bCs/>
          <w:i/>
          <w:iCs/>
          <w:color w:val="auto"/>
          <w:sz w:val="22"/>
          <w:szCs w:val="22"/>
        </w:rPr>
        <w:t xml:space="preserve">. OBRAZLOŽENJE OSTVARENJA RASHODA I IZDATAKA PO ORGANIZACIJSKOJ I PROGRAMSKOJ KLASIFIKACIJI </w:t>
      </w:r>
    </w:p>
    <w:p w:rsidR="00704B0E" w:rsidRPr="00E90FA1" w:rsidRDefault="00704B0E" w:rsidP="00704B0E">
      <w:pPr>
        <w:pStyle w:val="Default"/>
        <w:jc w:val="both"/>
        <w:rPr>
          <w:color w:val="auto"/>
          <w:sz w:val="22"/>
          <w:szCs w:val="22"/>
        </w:rPr>
      </w:pPr>
    </w:p>
    <w:p w:rsidR="00704B0E" w:rsidRPr="00E90FA1" w:rsidRDefault="00704B0E" w:rsidP="00704B0E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color w:val="auto"/>
          <w:sz w:val="22"/>
          <w:szCs w:val="22"/>
        </w:rPr>
        <w:lastRenderedPageBreak/>
        <w:t>Ra</w:t>
      </w:r>
      <w:r>
        <w:rPr>
          <w:color w:val="auto"/>
          <w:sz w:val="22"/>
          <w:szCs w:val="22"/>
        </w:rPr>
        <w:t xml:space="preserve">shodi/izdaci u </w:t>
      </w:r>
      <w:r w:rsidRPr="00E90FA1">
        <w:rPr>
          <w:color w:val="auto"/>
          <w:sz w:val="22"/>
          <w:szCs w:val="22"/>
        </w:rPr>
        <w:t xml:space="preserve"> 2</w:t>
      </w:r>
      <w:r>
        <w:rPr>
          <w:color w:val="auto"/>
          <w:sz w:val="22"/>
          <w:szCs w:val="22"/>
        </w:rPr>
        <w:t>01</w:t>
      </w:r>
      <w:r w:rsidR="00807167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. g. realizirani su u iznosu </w:t>
      </w:r>
      <w:r w:rsidR="00D759E2">
        <w:rPr>
          <w:color w:val="auto"/>
          <w:sz w:val="22"/>
          <w:szCs w:val="22"/>
        </w:rPr>
        <w:t>13</w:t>
      </w:r>
      <w:r>
        <w:rPr>
          <w:color w:val="auto"/>
          <w:sz w:val="22"/>
          <w:szCs w:val="22"/>
        </w:rPr>
        <w:t>.</w:t>
      </w:r>
      <w:r w:rsidR="00D759E2">
        <w:rPr>
          <w:color w:val="auto"/>
          <w:sz w:val="22"/>
          <w:szCs w:val="22"/>
        </w:rPr>
        <w:t>110</w:t>
      </w:r>
      <w:r>
        <w:rPr>
          <w:color w:val="auto"/>
          <w:sz w:val="22"/>
          <w:szCs w:val="22"/>
        </w:rPr>
        <w:t>.</w:t>
      </w:r>
      <w:r w:rsidR="00D759E2">
        <w:rPr>
          <w:color w:val="auto"/>
          <w:sz w:val="22"/>
          <w:szCs w:val="22"/>
        </w:rPr>
        <w:t>033</w:t>
      </w:r>
      <w:r>
        <w:rPr>
          <w:color w:val="auto"/>
          <w:sz w:val="22"/>
          <w:szCs w:val="22"/>
        </w:rPr>
        <w:t>,</w:t>
      </w:r>
      <w:r w:rsidR="00D759E2">
        <w:rPr>
          <w:color w:val="auto"/>
          <w:sz w:val="22"/>
          <w:szCs w:val="22"/>
        </w:rPr>
        <w:t>24</w:t>
      </w:r>
      <w:r>
        <w:rPr>
          <w:bCs/>
          <w:color w:val="auto"/>
          <w:sz w:val="22"/>
          <w:szCs w:val="22"/>
        </w:rPr>
        <w:t xml:space="preserve"> kn ili 9</w:t>
      </w:r>
      <w:r w:rsidR="00D759E2">
        <w:rPr>
          <w:bCs/>
          <w:color w:val="auto"/>
          <w:sz w:val="22"/>
          <w:szCs w:val="22"/>
        </w:rPr>
        <w:t>8</w:t>
      </w:r>
      <w:r>
        <w:rPr>
          <w:bCs/>
          <w:color w:val="auto"/>
          <w:sz w:val="22"/>
          <w:szCs w:val="22"/>
        </w:rPr>
        <w:t>,00</w:t>
      </w:r>
      <w:r w:rsidRPr="00E90FA1">
        <w:rPr>
          <w:bCs/>
          <w:color w:val="auto"/>
          <w:sz w:val="22"/>
          <w:szCs w:val="22"/>
        </w:rPr>
        <w:t xml:space="preserve"> % </w:t>
      </w:r>
      <w:r w:rsidRPr="00E90FA1">
        <w:rPr>
          <w:color w:val="auto"/>
          <w:sz w:val="22"/>
          <w:szCs w:val="22"/>
        </w:rPr>
        <w:t xml:space="preserve">godišnjeg plana. </w:t>
      </w:r>
    </w:p>
    <w:p w:rsidR="00704B0E" w:rsidRPr="00E90FA1" w:rsidRDefault="00704B0E" w:rsidP="00704B0E">
      <w:pPr>
        <w:pStyle w:val="Default"/>
        <w:jc w:val="both"/>
        <w:rPr>
          <w:color w:val="auto"/>
          <w:sz w:val="22"/>
          <w:szCs w:val="22"/>
        </w:rPr>
      </w:pPr>
      <w:r w:rsidRPr="00E90FA1">
        <w:rPr>
          <w:color w:val="auto"/>
          <w:sz w:val="22"/>
          <w:szCs w:val="22"/>
        </w:rPr>
        <w:t>U nastavku daje se obrazloženje ostvarenja pojedinih</w:t>
      </w:r>
      <w:r w:rsidR="00D759E2">
        <w:rPr>
          <w:color w:val="auto"/>
          <w:sz w:val="22"/>
          <w:szCs w:val="22"/>
        </w:rPr>
        <w:t xml:space="preserve"> </w:t>
      </w:r>
      <w:r w:rsidRPr="00E90FA1">
        <w:rPr>
          <w:color w:val="auto"/>
          <w:sz w:val="22"/>
          <w:szCs w:val="22"/>
        </w:rPr>
        <w:t>vrsta rashoda/ izdataka po organizacijskoj i programskoj klasifikaciji.</w:t>
      </w:r>
    </w:p>
    <w:tbl>
      <w:tblPr>
        <w:tblpPr w:leftFromText="180" w:rightFromText="180" w:vertAnchor="text" w:horzAnchor="margin" w:tblpY="628"/>
        <w:tblOverlap w:val="never"/>
        <w:tblW w:w="0" w:type="auto"/>
        <w:tblLook w:val="04A0"/>
      </w:tblPr>
      <w:tblGrid>
        <w:gridCol w:w="9288"/>
      </w:tblGrid>
      <w:tr w:rsidR="00704B0E" w:rsidRPr="00F2522F" w:rsidTr="00E20DEF">
        <w:trPr>
          <w:trHeight w:val="31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pPr w:leftFromText="180" w:rightFromText="180" w:vertAnchor="text" w:horzAnchor="margin" w:tblpY="-231"/>
              <w:tblOverlap w:val="never"/>
              <w:tblW w:w="9070" w:type="dxa"/>
              <w:tblLook w:val="04A0"/>
            </w:tblPr>
            <w:tblGrid>
              <w:gridCol w:w="9072"/>
            </w:tblGrid>
            <w:tr w:rsidR="00704B0E" w:rsidRPr="00F2522F" w:rsidTr="00E20DEF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FF"/>
                  <w:vAlign w:val="bottom"/>
                  <w:hideMark/>
                </w:tcPr>
                <w:p w:rsidR="00704B0E" w:rsidRPr="00354FA1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354FA1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Razdjel  001   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TIJELA OPĆINE TOVARNIK</w:t>
                  </w:r>
                </w:p>
              </w:tc>
            </w:tr>
            <w:tr w:rsidR="00704B0E" w:rsidRPr="00354FA1" w:rsidTr="00E20DEF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704B0E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Glava/ program 001 JUO IZVRŠNO TIJELO</w:t>
                  </w:r>
                </w:p>
                <w:p w:rsidR="00704B0E" w:rsidRPr="00354FA1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Glava /program 002PREDSTAVNIČKO TIJELO</w:t>
                  </w:r>
                </w:p>
              </w:tc>
            </w:tr>
            <w:tr w:rsidR="00704B0E" w:rsidRPr="00F2522F" w:rsidTr="00E20DEF">
              <w:trPr>
                <w:trHeight w:val="8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:rsidR="00704B0E" w:rsidRPr="00F2522F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704B0E" w:rsidRPr="00F2522F" w:rsidTr="00E20DEF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4B0E" w:rsidRPr="00354FA1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E053F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100</w:t>
                  </w:r>
                  <w:r w:rsidR="000B3FA6">
                    <w:rPr>
                      <w:rFonts w:ascii="Times New Roman" w:eastAsia="Times New Roman" w:hAnsi="Times New Roman" w:cs="Times New Roman"/>
                      <w:lang w:eastAsia="hr-HR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Redovna djelatnost</w:t>
                  </w:r>
                </w:p>
                <w:p w:rsidR="00704B0E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E053F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  <w:r w:rsidR="00DB0396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1004  Plan razvojnih progama</w:t>
                  </w:r>
                </w:p>
                <w:p w:rsidR="00704B0E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B16F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1003 </w:t>
                  </w:r>
                  <w:r w:rsidR="00DB0396">
                    <w:rPr>
                      <w:rFonts w:ascii="Times New Roman" w:eastAsia="Times New Roman" w:hAnsi="Times New Roman" w:cs="Times New Roman"/>
                      <w:lang w:eastAsia="hr-HR"/>
                    </w:rPr>
                    <w:t>Općinsko vijeće</w:t>
                  </w:r>
                </w:p>
                <w:p w:rsidR="00704B0E" w:rsidRDefault="00DB0396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B16F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1024 Competenc net</w:t>
                  </w:r>
                </w:p>
                <w:p w:rsidR="00704B0E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B16F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1005 </w:t>
                  </w:r>
                  <w:r w:rsidR="00DB0396">
                    <w:rPr>
                      <w:rFonts w:ascii="Times New Roman" w:eastAsia="Times New Roman" w:hAnsi="Times New Roman" w:cs="Times New Roman"/>
                      <w:lang w:eastAsia="hr-HR"/>
                    </w:rPr>
                    <w:t>Političke stranke</w:t>
                  </w:r>
                </w:p>
                <w:p w:rsidR="00DB0396" w:rsidRDefault="00DB0396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B16F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Program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1012 Pomoć starim i nemoćnim</w:t>
                  </w:r>
                </w:p>
                <w:p w:rsidR="00DB0396" w:rsidRDefault="00DB0396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0B16F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  <w:r w:rsidR="003D40DF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1011 Projekt Zaželi</w:t>
                  </w:r>
                </w:p>
                <w:p w:rsidR="003D40DF" w:rsidRDefault="003D40DF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704B0E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704B0E" w:rsidRPr="00354FA1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704B0E" w:rsidRPr="00F2522F" w:rsidTr="00E20DEF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4B0E" w:rsidRPr="00354FA1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</w:p>
              </w:tc>
            </w:tr>
            <w:tr w:rsidR="00704B0E" w:rsidRPr="00B62CB7" w:rsidTr="00E20DEF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4B0E" w:rsidRPr="00B62CB7" w:rsidRDefault="00704B0E" w:rsidP="00E20DEF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704B0E" w:rsidRPr="00B62CB7" w:rsidRDefault="00704B0E" w:rsidP="00E20DEF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B62CB7">
                    <w:rPr>
                      <w:color w:val="auto"/>
                      <w:sz w:val="22"/>
                      <w:szCs w:val="22"/>
                    </w:rPr>
                    <w:t>U okviru ove organizacijske cjeline ukupno je realizirano</w:t>
                  </w:r>
                  <w:r w:rsidR="00F759B6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0B16F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F759B6">
                    <w:rPr>
                      <w:color w:val="auto"/>
                      <w:sz w:val="22"/>
                      <w:szCs w:val="22"/>
                    </w:rPr>
                    <w:t>5.258.496,72</w:t>
                  </w:r>
                  <w:r w:rsidR="000B16F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B62CB7">
                    <w:rPr>
                      <w:color w:val="auto"/>
                      <w:sz w:val="22"/>
                      <w:szCs w:val="22"/>
                    </w:rPr>
                    <w:t xml:space="preserve">kn  rashoda, te su realizirani slijedeći  programi i aktivnosti kako slijedi: </w:t>
                  </w:r>
                </w:p>
                <w:p w:rsidR="00704B0E" w:rsidRPr="00B62CB7" w:rsidRDefault="00704B0E" w:rsidP="00E20DEF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  <w:p w:rsidR="00704B0E" w:rsidRPr="00B62CB7" w:rsidRDefault="00704B0E" w:rsidP="00E20DEF">
                  <w:pPr>
                    <w:pStyle w:val="Default"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C13332">
                    <w:rPr>
                      <w:b/>
                      <w:color w:val="auto"/>
                      <w:sz w:val="22"/>
                      <w:szCs w:val="22"/>
                    </w:rPr>
                    <w:t>Program</w:t>
                  </w:r>
                  <w:r w:rsidRPr="00B62CB7">
                    <w:rPr>
                      <w:i/>
                      <w:color w:val="auto"/>
                      <w:sz w:val="22"/>
                      <w:szCs w:val="22"/>
                    </w:rPr>
                    <w:t xml:space="preserve"> Redovna djelatnost.</w:t>
                  </w:r>
                  <w:r w:rsidRPr="00B62CB7">
                    <w:rPr>
                      <w:color w:val="auto"/>
                      <w:sz w:val="22"/>
                      <w:szCs w:val="22"/>
                    </w:rPr>
                    <w:t>Pod ovim programom ostvareno je 2.</w:t>
                  </w:r>
                  <w:r w:rsidR="000B16F0">
                    <w:rPr>
                      <w:color w:val="auto"/>
                      <w:sz w:val="22"/>
                      <w:szCs w:val="22"/>
                    </w:rPr>
                    <w:t>574</w:t>
                  </w:r>
                  <w:r w:rsidRPr="00B62CB7">
                    <w:rPr>
                      <w:color w:val="auto"/>
                      <w:sz w:val="22"/>
                      <w:szCs w:val="22"/>
                    </w:rPr>
                    <w:t>.</w:t>
                  </w:r>
                  <w:r w:rsidR="000B16F0">
                    <w:rPr>
                      <w:color w:val="auto"/>
                      <w:sz w:val="22"/>
                      <w:szCs w:val="22"/>
                    </w:rPr>
                    <w:t>133</w:t>
                  </w:r>
                  <w:r w:rsidRPr="00B62CB7">
                    <w:rPr>
                      <w:color w:val="auto"/>
                      <w:sz w:val="22"/>
                      <w:szCs w:val="22"/>
                    </w:rPr>
                    <w:t>,</w:t>
                  </w:r>
                  <w:r w:rsidR="000B16F0">
                    <w:rPr>
                      <w:color w:val="auto"/>
                      <w:sz w:val="22"/>
                      <w:szCs w:val="22"/>
                    </w:rPr>
                    <w:t>37</w:t>
                  </w:r>
                  <w:r w:rsidRPr="00B62CB7">
                    <w:rPr>
                      <w:color w:val="auto"/>
                      <w:sz w:val="22"/>
                      <w:szCs w:val="22"/>
                    </w:rPr>
                    <w:t xml:space="preserve"> kn</w:t>
                  </w:r>
                </w:p>
                <w:p w:rsidR="00704B0E" w:rsidRPr="00B62CB7" w:rsidRDefault="00704B0E" w:rsidP="00E20DE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B62CB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Rashodi se odnose na plaće </w:t>
                  </w:r>
                  <w:r w:rsidRPr="00B62CB7">
                    <w:rPr>
                      <w:rFonts w:ascii="Times New Roman" w:hAnsi="Times New Roman" w:cs="Times New Roman"/>
                    </w:rPr>
                    <w:t>i naknade za zaposlene, rashode za službena putovanja,   premije osiguranja,  reprezentaciju,  režijske  rashode, rashode za djelatnike stručnog osposobljavanja , usluge tekućeg i investicijskog održavanja opreme i sl.</w:t>
                  </w:r>
                </w:p>
                <w:p w:rsidR="00704B0E" w:rsidRPr="00B62CB7" w:rsidRDefault="00704B0E" w:rsidP="00E20DE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04B0E" w:rsidRPr="00B62CB7" w:rsidRDefault="00704B0E" w:rsidP="00E20DE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13332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Pr="00B62CB7">
                    <w:rPr>
                      <w:rFonts w:ascii="Times New Roman" w:hAnsi="Times New Roman" w:cs="Times New Roman"/>
                    </w:rPr>
                    <w:t xml:space="preserve"> :</w:t>
                  </w:r>
                  <w:r w:rsidRPr="00B62CB7">
                    <w:rPr>
                      <w:rFonts w:ascii="Times New Roman" w:hAnsi="Times New Roman" w:cs="Times New Roman"/>
                      <w:i/>
                    </w:rPr>
                    <w:t>Nabava dugotrajne imovine</w:t>
                  </w:r>
                  <w:r w:rsidRPr="00B62CB7">
                    <w:rPr>
                      <w:rFonts w:ascii="Times New Roman" w:hAnsi="Times New Roman" w:cs="Times New Roman"/>
                    </w:rPr>
                    <w:t xml:space="preserve">.Pod ovim programom ostvareno je </w:t>
                  </w:r>
                  <w:r w:rsidR="00F759B6">
                    <w:rPr>
                      <w:rFonts w:ascii="Times New Roman" w:hAnsi="Times New Roman" w:cs="Times New Roman"/>
                    </w:rPr>
                    <w:t>517.409,19</w:t>
                  </w:r>
                  <w:r w:rsidRPr="00B62CB7">
                    <w:rPr>
                      <w:rFonts w:ascii="Times New Roman" w:hAnsi="Times New Roman" w:cs="Times New Roman"/>
                    </w:rPr>
                    <w:t xml:space="preserve"> kn</w:t>
                  </w:r>
                </w:p>
                <w:p w:rsidR="00704B0E" w:rsidRPr="00B62CB7" w:rsidRDefault="00704B0E" w:rsidP="00E20DE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04B0E" w:rsidRDefault="00704B0E" w:rsidP="00E20DE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13332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Pr="00B62CB7">
                    <w:rPr>
                      <w:rFonts w:ascii="Times New Roman" w:hAnsi="Times New Roman" w:cs="Times New Roman"/>
                      <w:i/>
                    </w:rPr>
                    <w:t xml:space="preserve">: Općinsko vijeće </w:t>
                  </w:r>
                  <w:r w:rsidRPr="00B62CB7">
                    <w:rPr>
                      <w:rFonts w:ascii="Times New Roman" w:hAnsi="Times New Roman" w:cs="Times New Roman"/>
                    </w:rPr>
                    <w:t xml:space="preserve">. Pod ovim programom ostvareno je </w:t>
                  </w:r>
                  <w:r w:rsidR="000B16F0">
                    <w:rPr>
                      <w:rFonts w:ascii="Times New Roman" w:hAnsi="Times New Roman" w:cs="Times New Roman"/>
                    </w:rPr>
                    <w:t>206.675,61</w:t>
                  </w:r>
                  <w:r w:rsidRPr="00B62CB7">
                    <w:rPr>
                      <w:rFonts w:ascii="Times New Roman" w:hAnsi="Times New Roman" w:cs="Times New Roman"/>
                    </w:rPr>
                    <w:t xml:space="preserve"> kn.</w:t>
                  </w:r>
                </w:p>
                <w:p w:rsidR="00704B0E" w:rsidRPr="001A3CB5" w:rsidRDefault="00704B0E" w:rsidP="00E20DE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C13332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  <w:r w:rsidRPr="001A3CB5">
                    <w:rPr>
                      <w:rFonts w:ascii="Times New Roman" w:hAnsi="Times New Roman" w:cs="Times New Roman"/>
                      <w:i/>
                    </w:rPr>
                    <w:t>Političke stranke</w:t>
                  </w:r>
                  <w:r>
                    <w:rPr>
                      <w:rFonts w:ascii="Times New Roman" w:hAnsi="Times New Roman" w:cs="Times New Roman"/>
                    </w:rPr>
                    <w:t>. Pod</w:t>
                  </w:r>
                  <w:r w:rsidR="00EB3B8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ovim programom ostvareno je 41.99</w:t>
                  </w:r>
                  <w:r w:rsidR="00DD32EC">
                    <w:rPr>
                      <w:rFonts w:ascii="Times New Roman" w:hAnsi="Times New Roman" w:cs="Times New Roman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="00DD32EC">
                    <w:rPr>
                      <w:rFonts w:ascii="Times New Roman" w:hAnsi="Times New Roman" w:cs="Times New Roman"/>
                    </w:rPr>
                    <w:t>76</w:t>
                  </w:r>
                  <w:r>
                    <w:rPr>
                      <w:rFonts w:ascii="Times New Roman" w:hAnsi="Times New Roman" w:cs="Times New Roman"/>
                    </w:rPr>
                    <w:t xml:space="preserve"> kn</w:t>
                  </w:r>
                </w:p>
                <w:p w:rsidR="00704B0E" w:rsidRDefault="00EB3B8F" w:rsidP="00E20DE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B3B8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</w:rPr>
                    <w:t xml:space="preserve">: </w:t>
                  </w:r>
                  <w:r w:rsidRPr="00EB3B8F">
                    <w:rPr>
                      <w:rFonts w:ascii="Times New Roman" w:hAnsi="Times New Roman" w:cs="Times New Roman"/>
                      <w:i/>
                    </w:rPr>
                    <w:t>Competenec net</w:t>
                  </w:r>
                  <w:r>
                    <w:rPr>
                      <w:rFonts w:ascii="Times New Roman" w:hAnsi="Times New Roman" w:cs="Times New Roman"/>
                    </w:rPr>
                    <w:t>. Pod ovim programom ostvareno je 357.835,45</w:t>
                  </w:r>
                </w:p>
                <w:p w:rsidR="00EB3B8F" w:rsidRDefault="00EB3B8F" w:rsidP="00E20DE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B3B8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</w:rPr>
                    <w:t>: Zaželi. Pod ovim programom ostvareno je 1.551.178,04kn</w:t>
                  </w:r>
                </w:p>
                <w:p w:rsidR="00EB3B8F" w:rsidRDefault="00EB3B8F" w:rsidP="00E20DE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EB3B8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</w:rPr>
                    <w:t>: Pomoć starim i nemoćnim. Pod ovim programom ostaverno je 9.265.30kn</w:t>
                  </w:r>
                </w:p>
                <w:p w:rsidR="00F759B6" w:rsidRPr="001A3CB5" w:rsidRDefault="00F759B6" w:rsidP="00E20DEF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04B0E" w:rsidRPr="001A3CB5" w:rsidRDefault="00704B0E" w:rsidP="00E20D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B62CB7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Ciljevi:</w:t>
                  </w:r>
                  <w:r w:rsidRPr="00B62CB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>Pomoći starijim i bolesnim i ljudima u potrebi a također povezati suradnju sa susjednim državama.</w:t>
                  </w:r>
                  <w:r w:rsidRPr="00B62CB7">
                    <w:rPr>
                      <w:rFonts w:ascii="Times New Roman" w:eastAsia="Times New Roman" w:hAnsi="Times New Roman" w:cs="Times New Roman"/>
                      <w:lang w:eastAsia="hr-HR"/>
                    </w:rPr>
                    <w:t>Poticati  osnivanje i rad političkih stranaka kao izraz demokratskog višestranačkog sustava, odnosno najviše vrijednosti ustavnog poretka, te osigurati redovan  i pravovremen rad općinskog vijeća, donošenje op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ćih i posebnih akata na vrijeme.</w:t>
                  </w:r>
                </w:p>
                <w:p w:rsidR="00704B0E" w:rsidRPr="00B62CB7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704B0E" w:rsidRPr="00F2522F" w:rsidTr="00E20DEF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4B0E" w:rsidRPr="00354FA1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704B0E" w:rsidRPr="00F2522F" w:rsidTr="00E20DEF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04B0E" w:rsidRPr="00354FA1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704B0E" w:rsidRPr="000B07C6" w:rsidTr="00E20DEF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04B0E" w:rsidRDefault="00704B0E" w:rsidP="00E20D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  <w:t xml:space="preserve"> </w:t>
                  </w:r>
                </w:p>
                <w:p w:rsidR="00F759B6" w:rsidRDefault="00F759B6" w:rsidP="00E20D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  <w:p w:rsidR="00F759B6" w:rsidRPr="000B07C6" w:rsidRDefault="00F759B6" w:rsidP="00E20D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  <w:p w:rsidR="00704B0E" w:rsidRPr="000B07C6" w:rsidRDefault="00704B0E" w:rsidP="00E20D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704B0E" w:rsidRPr="00F2522F" w:rsidTr="00E20DEF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04B0E" w:rsidRPr="00354FA1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  <w:tr w:rsidR="00704B0E" w:rsidRPr="00F2522F" w:rsidTr="00E20DEF">
              <w:trPr>
                <w:trHeight w:val="630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/>
                  </w:tblPr>
                  <w:tblGrid>
                    <w:gridCol w:w="9917"/>
                  </w:tblGrid>
                  <w:tr w:rsidR="00704B0E" w:rsidRPr="00F2522F" w:rsidTr="00E20DEF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704B0E" w:rsidRPr="00F2522F" w:rsidRDefault="00704B0E" w:rsidP="007C4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  <w:r w:rsidRPr="00354FA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lastRenderedPageBreak/>
                          <w:t xml:space="preserve">Razdjel  </w:t>
                        </w:r>
                        <w:r w:rsidR="007C45A0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00102</w:t>
                        </w:r>
                        <w:r w:rsidRPr="00354FA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DRUŠTVENE DJELATNOST</w:t>
                        </w:r>
                      </w:p>
                    </w:tc>
                  </w:tr>
                  <w:tr w:rsidR="00704B0E" w:rsidRPr="00F2522F" w:rsidTr="00E20DEF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704B0E" w:rsidRPr="00F2522F" w:rsidRDefault="00704B0E" w:rsidP="00F759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  <w:r w:rsidRPr="00354FA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 xml:space="preserve">Glava/ program </w:t>
                        </w:r>
                        <w:r w:rsidR="00F759B6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1015</w:t>
                        </w:r>
                        <w:r w:rsidRPr="00354FA1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 xml:space="preserve"> Obrazovanje</w:t>
                        </w:r>
                      </w:p>
                    </w:tc>
                  </w:tr>
                  <w:tr w:rsidR="00704B0E" w:rsidRPr="00F2522F" w:rsidTr="00E20DEF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704B0E" w:rsidRPr="00F2522F" w:rsidRDefault="00704B0E" w:rsidP="00E20D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:rsidR="00704B0E" w:rsidRPr="00F2522F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704B0E" w:rsidRPr="002C3087" w:rsidTr="00E20DEF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4B0E" w:rsidRPr="002C3087" w:rsidRDefault="00704B0E" w:rsidP="00E20D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2C308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Pod ovim programom realizirano je 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>3</w:t>
                  </w:r>
                  <w:r w:rsidRPr="002C3087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>557</w:t>
                  </w:r>
                  <w:r w:rsidRPr="002C3087"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>268</w:t>
                  </w:r>
                  <w:r w:rsidRPr="002C3087">
                    <w:rPr>
                      <w:rFonts w:ascii="Times New Roman" w:eastAsia="Times New Roman" w:hAnsi="Times New Roman" w:cs="Times New Roman"/>
                      <w:lang w:eastAsia="hr-HR"/>
                    </w:rPr>
                    <w:t>,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>12</w:t>
                  </w:r>
                  <w:r w:rsidRPr="002C308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kn, u slijedećim navedenim aktivnostima</w:t>
                  </w:r>
                </w:p>
                <w:p w:rsidR="00704B0E" w:rsidRPr="002C3087" w:rsidRDefault="00704B0E" w:rsidP="00F759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2C3087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>101510</w:t>
                  </w:r>
                  <w:r w:rsidRPr="002C3087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Donacije za obrazovanje</w:t>
                  </w:r>
                </w:p>
              </w:tc>
            </w:tr>
            <w:tr w:rsidR="00704B0E" w:rsidRPr="00F2522F" w:rsidTr="00E20DEF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4B0E" w:rsidRPr="002C3087" w:rsidRDefault="00704B0E" w:rsidP="00E20DE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2C3087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>1</w:t>
                  </w:r>
                  <w:r w:rsidRPr="002C3087">
                    <w:rPr>
                      <w:rFonts w:ascii="Times New Roman" w:eastAsia="Times New Roman" w:hAnsi="Times New Roman" w:cs="Times New Roman"/>
                      <w:lang w:eastAsia="hr-HR"/>
                    </w:rPr>
                    <w:t>0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1507 </w:t>
                  </w:r>
                  <w:r w:rsidRPr="002C3087">
                    <w:rPr>
                      <w:rFonts w:ascii="Times New Roman" w:eastAsia="Times New Roman" w:hAnsi="Times New Roman" w:cs="Times New Roman"/>
                      <w:lang w:eastAsia="hr-HR"/>
                    </w:rPr>
                    <w:t>Donacije osnovnim školama</w:t>
                  </w:r>
                </w:p>
                <w:p w:rsidR="00704B0E" w:rsidRPr="002C3087" w:rsidRDefault="00704B0E" w:rsidP="00E20DE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2C3087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 A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01505 </w:t>
                  </w:r>
                  <w:r w:rsidRPr="002C3087">
                    <w:rPr>
                      <w:rFonts w:ascii="Times New Roman" w:eastAsia="Times New Roman" w:hAnsi="Times New Roman" w:cs="Times New Roman"/>
                      <w:lang w:eastAsia="hr-HR"/>
                    </w:rPr>
                    <w:t>Dječji vrtić</w:t>
                  </w:r>
                </w:p>
                <w:p w:rsidR="00704B0E" w:rsidRDefault="00704B0E" w:rsidP="00E20DE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170B08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Pod ovim programom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Obrazovanje i aktivnostima ostvareno je za stipendije i školarine 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>244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>300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,00kn; prijevoz srednjoškolaca 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>65.843,92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kn: donacije osnovnim školama 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>151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>599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,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kn; sufinanciranje rada vrtića u Tovarniku </w:t>
                  </w:r>
                  <w:r w:rsidR="00F759B6">
                    <w:rPr>
                      <w:rFonts w:ascii="Times New Roman" w:eastAsia="Times New Roman" w:hAnsi="Times New Roman" w:cs="Times New Roman"/>
                      <w:lang w:eastAsia="hr-HR"/>
                    </w:rPr>
                    <w:t>341.321,28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(nije naš proračunski korisnik).</w:t>
                  </w:r>
                </w:p>
                <w:p w:rsidR="00704B0E" w:rsidRDefault="00704B0E" w:rsidP="00E20DE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704B0E" w:rsidRPr="00170B08" w:rsidRDefault="00704B0E" w:rsidP="00E20DE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E053F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  <w:r w:rsidR="005448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="005448C0" w:rsidRP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>1018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Javne potrebe u športu i rekreaciji. Ovaj program izvršen je u iznosu 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>348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>527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,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kn.</w:t>
                  </w: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lang w:eastAsia="hr-HR"/>
                    </w:rPr>
                    <w:t xml:space="preserve"> </w:t>
                  </w:r>
                  <w:r w:rsidRPr="00F03D54">
                    <w:rPr>
                      <w:rFonts w:ascii="Times New Roman" w:eastAsia="Times New Roman" w:hAnsi="Times New Roman" w:cs="Times New Roman"/>
                      <w:lang w:eastAsia="hr-HR"/>
                    </w:rPr>
                    <w:t>Aktivnost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Pr="00F03D54">
                    <w:rPr>
                      <w:rFonts w:ascii="Times New Roman" w:eastAsia="Times New Roman" w:hAnsi="Times New Roman" w:cs="Times New Roman"/>
                      <w:lang w:eastAsia="hr-HR"/>
                    </w:rPr>
                    <w:t>A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101820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Tekuće i kapitalne potpore športskim udrugama</w:t>
                  </w: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E053F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  <w:r w:rsidR="005448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1006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Javne potrebe u kulturi ostvareno u iznosu 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>657.576,78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kn, a odnosi se na obilježavanje Dana Općine Tovarnik u iznosu 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>72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>766,51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kn; sufinanciranje rada Bibliobusa u Općini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13.994,00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; sufinanciranje udruga s područja kulture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214.006,25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;održavanje festivala voćnih rakija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356.810,02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.</w:t>
                  </w: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6E053F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="005448C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1014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Pr="006E053F">
                    <w:rPr>
                      <w:rFonts w:ascii="Times New Roman" w:eastAsia="Times New Roman" w:hAnsi="Times New Roman" w:cs="Times New Roman"/>
                      <w:lang w:eastAsia="hr-HR"/>
                    </w:rPr>
                    <w:t>Održavanje i izgradnja građevinskih objekata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ostvareno u iznosu 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>669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>452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,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>68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kn. Ovaj program odnosi se na opremanje Društvenog doma Vila U Tovarniku</w:t>
                  </w:r>
                  <w:r w:rsidR="005448C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199.950,65, uređenje Lovačkog doma 21.625,00, dodatna ulaganja dječji vrtić Tovarnik 41.203,07 i stara ambulanta u Tovarnkiu 298.854,08kn</w:t>
                  </w:r>
                  <w:r w:rsidR="007C45A0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uređenje grobčja 46.844,88, parkiralište za pravoslavno groblje 45.000,00</w:t>
                  </w: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  <w:r w:rsidR="007C45A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1001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Donacije vjerskim zajednicama ostvaren u iznosu 4</w:t>
                  </w:r>
                  <w:r w:rsidR="007C45A0">
                    <w:rPr>
                      <w:rFonts w:ascii="Times New Roman" w:eastAsia="Times New Roman" w:hAnsi="Times New Roman" w:cs="Times New Roman"/>
                      <w:lang w:eastAsia="hr-HR"/>
                    </w:rPr>
                    <w:t>37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.000,00 kn, a odnosi se na tekuće i kapitalne potpore vjerskim organizacijama u Ilači i Tovarniku (katoličke i pravoslavne)</w:t>
                  </w: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996A64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  <w:r w:rsidR="007C45A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1020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Donacije ostalim udrugama ostvareno u iznosu </w:t>
                  </w:r>
                  <w:r w:rsidR="007C45A0">
                    <w:rPr>
                      <w:rFonts w:ascii="Times New Roman" w:eastAsia="Times New Roman" w:hAnsi="Times New Roman" w:cs="Times New Roman"/>
                      <w:lang w:eastAsia="hr-HR"/>
                    </w:rPr>
                    <w:t>82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7C45A0">
                    <w:rPr>
                      <w:rFonts w:ascii="Times New Roman" w:eastAsia="Times New Roman" w:hAnsi="Times New Roman" w:cs="Times New Roman"/>
                      <w:lang w:eastAsia="hr-HR"/>
                    </w:rPr>
                    <w:t>220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,</w:t>
                  </w:r>
                  <w:r w:rsidR="007C45A0">
                    <w:rPr>
                      <w:rFonts w:ascii="Times New Roman" w:eastAsia="Times New Roman" w:hAnsi="Times New Roman" w:cs="Times New Roman"/>
                      <w:lang w:eastAsia="hr-HR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kn. Donacije se odnose prijenos sredstava Lag-u , Tintl-u , udruzi potrošača.</w:t>
                  </w: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  <w:r w:rsidR="007C45A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 1021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Donacije DVD-u i službi zaštite i spašavanja, izvršeno u iznosu </w:t>
                  </w:r>
                  <w:r w:rsidR="007C45A0">
                    <w:rPr>
                      <w:rFonts w:ascii="Times New Roman" w:eastAsia="Times New Roman" w:hAnsi="Times New Roman" w:cs="Times New Roman"/>
                      <w:lang w:eastAsia="hr-HR"/>
                    </w:rPr>
                    <w:t>203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  <w:r w:rsidR="007C45A0">
                    <w:rPr>
                      <w:rFonts w:ascii="Times New Roman" w:eastAsia="Times New Roman" w:hAnsi="Times New Roman" w:cs="Times New Roman"/>
                      <w:lang w:eastAsia="hr-HR"/>
                    </w:rPr>
                    <w:t>297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,</w:t>
                  </w:r>
                  <w:r w:rsidR="007C45A0">
                    <w:rPr>
                      <w:rFonts w:ascii="Times New Roman" w:eastAsia="Times New Roman" w:hAnsi="Times New Roman" w:cs="Times New Roman"/>
                      <w:lang w:eastAsia="hr-HR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kn, te prijenos gorskoj službi za spašavanje po ugovoru.</w:t>
                  </w: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.</w:t>
                  </w:r>
                </w:p>
                <w:p w:rsidR="00704B0E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704B0E" w:rsidRPr="00996A64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996A64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  <w:r w:rsidR="007C45A0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1023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 xml:space="preserve"> </w:t>
                  </w:r>
                  <w:r w:rsidRPr="00996A64">
                    <w:rPr>
                      <w:rFonts w:ascii="Times New Roman" w:eastAsia="Times New Roman" w:hAnsi="Times New Roman" w:cs="Times New Roman"/>
                      <w:lang w:eastAsia="hr-HR"/>
                    </w:rPr>
                    <w:t>Demografska obnova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izvšena u iznosu 263.500,00 kn, a odnosi se na sufinanciranje kupnje prve nekretnine , te novčana naknada po odluci općinsko vijeća za novorođenu djecu.</w:t>
                  </w:r>
                </w:p>
                <w:p w:rsidR="00704B0E" w:rsidRPr="00996A64" w:rsidRDefault="00704B0E" w:rsidP="00E20D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  <w:p w:rsidR="00704B0E" w:rsidRPr="009D0EA6" w:rsidRDefault="00704B0E" w:rsidP="00E20D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  <w:p w:rsidR="00704B0E" w:rsidRPr="009D0EA6" w:rsidRDefault="00704B0E" w:rsidP="00E20D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9D0EA6"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  <w:t xml:space="preserve"> </w:t>
                  </w:r>
                </w:p>
              </w:tc>
            </w:tr>
            <w:tr w:rsidR="00704B0E" w:rsidRPr="00F2522F" w:rsidTr="00E20DEF">
              <w:trPr>
                <w:trHeight w:val="1252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pPr w:leftFromText="180" w:rightFromText="180" w:vertAnchor="text" w:horzAnchor="margin" w:tblpY="49"/>
                    <w:tblOverlap w:val="never"/>
                    <w:tblW w:w="9917" w:type="dxa"/>
                    <w:tblLook w:val="04A0"/>
                  </w:tblPr>
                  <w:tblGrid>
                    <w:gridCol w:w="9917"/>
                  </w:tblGrid>
                  <w:tr w:rsidR="00704B0E" w:rsidRPr="00F2522F" w:rsidTr="00E20DEF">
                    <w:trPr>
                      <w:trHeight w:val="63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0000FF"/>
                        <w:vAlign w:val="bottom"/>
                        <w:hideMark/>
                      </w:tcPr>
                      <w:p w:rsidR="00704B0E" w:rsidRPr="000B5B8C" w:rsidRDefault="00704B0E" w:rsidP="007C45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 xml:space="preserve">Razdjel  </w:t>
                        </w:r>
                        <w:r w:rsidR="007C45A0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00104</w:t>
                        </w: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KOMUNALNA I GOSPODARSKA DJELATNOST</w:t>
                        </w:r>
                      </w:p>
                    </w:tc>
                  </w:tr>
                  <w:tr w:rsidR="00704B0E" w:rsidRPr="00F2522F" w:rsidTr="00E20DEF">
                    <w:trPr>
                      <w:trHeight w:val="315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704B0E" w:rsidRPr="000B5B8C" w:rsidRDefault="00704B0E" w:rsidP="00B402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</w:pP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 xml:space="preserve">Glava/ program </w:t>
                        </w:r>
                        <w:r w:rsidR="00B40272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00104</w:t>
                        </w:r>
                        <w:r w:rsidRPr="000B5B8C"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hr-HR"/>
                          </w:rPr>
                          <w:t>KOMUNALNA INFRASTRUKTURA</w:t>
                        </w:r>
                      </w:p>
                    </w:tc>
                  </w:tr>
                  <w:tr w:rsidR="00704B0E" w:rsidRPr="00F2522F" w:rsidTr="00E20DEF">
                    <w:trPr>
                      <w:trHeight w:val="80"/>
                    </w:trPr>
                    <w:tc>
                      <w:tcPr>
                        <w:tcW w:w="99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C0C0C0"/>
                        <w:vAlign w:val="bottom"/>
                        <w:hideMark/>
                      </w:tcPr>
                      <w:p w:rsidR="00704B0E" w:rsidRPr="00F2522F" w:rsidRDefault="00704B0E" w:rsidP="00E20D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0000"/>
                            <w:lang w:eastAsia="hr-HR"/>
                          </w:rPr>
                        </w:pPr>
                      </w:p>
                    </w:tc>
                  </w:tr>
                </w:tbl>
                <w:p w:rsidR="00704B0E" w:rsidRPr="00F2522F" w:rsidRDefault="00704B0E" w:rsidP="00E20D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hr-HR"/>
                    </w:rPr>
                  </w:pPr>
                </w:p>
              </w:tc>
            </w:tr>
            <w:tr w:rsidR="00704B0E" w:rsidRPr="000B5B8C" w:rsidTr="00E20DEF">
              <w:trPr>
                <w:trHeight w:val="315"/>
              </w:trPr>
              <w:tc>
                <w:tcPr>
                  <w:tcW w:w="9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04B0E" w:rsidRPr="000B5B8C" w:rsidRDefault="00704B0E" w:rsidP="00B40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 w:rsidRPr="007A5E03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  <w:r w:rsidRPr="000B5B8C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</w:t>
                  </w:r>
                  <w:r w:rsidR="00B40272">
                    <w:rPr>
                      <w:rFonts w:ascii="Times New Roman" w:eastAsia="Times New Roman" w:hAnsi="Times New Roman" w:cs="Times New Roman"/>
                      <w:lang w:eastAsia="hr-HR"/>
                    </w:rPr>
                    <w:t>1019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  Gradnja objekata i uređaja komunalne infrastrukture. Pod ovim programom izvršeno je </w:t>
                  </w:r>
                  <w:r w:rsidR="00B40272"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2.008.164,17 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kn, u slijedećim aktivnostima:</w:t>
                  </w:r>
                </w:p>
              </w:tc>
            </w:tr>
          </w:tbl>
          <w:p w:rsidR="00704B0E" w:rsidRPr="00F2522F" w:rsidRDefault="00704B0E" w:rsidP="00E20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</w:tbl>
    <w:p w:rsidR="00704B0E" w:rsidRPr="00020095" w:rsidRDefault="00704B0E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Aktivnost </w:t>
      </w:r>
      <w:r w:rsidR="00B40272">
        <w:rPr>
          <w:rFonts w:ascii="Times New Roman" w:hAnsi="Times New Roman" w:cs="Times New Roman"/>
        </w:rPr>
        <w:t>K101908</w:t>
      </w:r>
      <w:r>
        <w:rPr>
          <w:rFonts w:ascii="Times New Roman" w:hAnsi="Times New Roman" w:cs="Times New Roman"/>
        </w:rPr>
        <w:t xml:space="preserve">  Izgradnja nogostupa-</w:t>
      </w:r>
      <w:r w:rsidR="00B40272">
        <w:rPr>
          <w:rFonts w:ascii="Times New Roman" w:hAnsi="Times New Roman" w:cs="Times New Roman"/>
        </w:rPr>
        <w:t>301.763,73</w:t>
      </w: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</w:t>
      </w:r>
      <w:r w:rsidR="00B40272">
        <w:rPr>
          <w:rFonts w:ascii="Times New Roman" w:hAnsi="Times New Roman" w:cs="Times New Roman"/>
        </w:rPr>
        <w:t xml:space="preserve"> K101909</w:t>
      </w:r>
      <w:r>
        <w:rPr>
          <w:rFonts w:ascii="Times New Roman" w:hAnsi="Times New Roman" w:cs="Times New Roman"/>
        </w:rPr>
        <w:t xml:space="preserve"> Izgradnja parkirališta u </w:t>
      </w:r>
      <w:r w:rsidR="00B40272">
        <w:rPr>
          <w:rFonts w:ascii="Times New Roman" w:hAnsi="Times New Roman" w:cs="Times New Roman"/>
        </w:rPr>
        <w:t>Tovarniku</w:t>
      </w:r>
      <w:r>
        <w:rPr>
          <w:rFonts w:ascii="Times New Roman" w:hAnsi="Times New Roman" w:cs="Times New Roman"/>
        </w:rPr>
        <w:t>-5</w:t>
      </w:r>
      <w:r w:rsidR="00B40272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.</w:t>
      </w:r>
      <w:r w:rsidR="00B40272">
        <w:rPr>
          <w:rFonts w:ascii="Times New Roman" w:hAnsi="Times New Roman" w:cs="Times New Roman"/>
        </w:rPr>
        <w:t>540</w:t>
      </w:r>
      <w:r>
        <w:rPr>
          <w:rFonts w:ascii="Times New Roman" w:hAnsi="Times New Roman" w:cs="Times New Roman"/>
        </w:rPr>
        <w:t>,</w:t>
      </w:r>
      <w:r w:rsidR="00B4027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kn</w:t>
      </w: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</w:t>
      </w:r>
      <w:r w:rsidR="00B40272">
        <w:rPr>
          <w:rFonts w:ascii="Times New Roman" w:hAnsi="Times New Roman" w:cs="Times New Roman"/>
        </w:rPr>
        <w:t xml:space="preserve"> K101903 Ograđivanje pravoslavnog groblja -56.625,00</w:t>
      </w: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</w:t>
      </w:r>
      <w:r w:rsidR="00B40272">
        <w:rPr>
          <w:rFonts w:ascii="Times New Roman" w:hAnsi="Times New Roman" w:cs="Times New Roman"/>
        </w:rPr>
        <w:t xml:space="preserve"> K101902 Projektna dokumentacija za izgradnju pravoslavne mrtvačnice 23.665,51 k</w:t>
      </w:r>
      <w:r>
        <w:rPr>
          <w:rFonts w:ascii="Times New Roman" w:hAnsi="Times New Roman" w:cs="Times New Roman"/>
        </w:rPr>
        <w:t>n</w:t>
      </w: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Aktivnost</w:t>
      </w:r>
      <w:r w:rsidR="00B40272">
        <w:rPr>
          <w:rFonts w:ascii="Times New Roman" w:hAnsi="Times New Roman" w:cs="Times New Roman"/>
        </w:rPr>
        <w:t xml:space="preserve"> A101930 Održavanje nerazvrstanih cesta Ilača</w:t>
      </w:r>
      <w:r>
        <w:rPr>
          <w:rFonts w:ascii="Times New Roman" w:hAnsi="Times New Roman" w:cs="Times New Roman"/>
        </w:rPr>
        <w:t>-</w:t>
      </w:r>
      <w:r w:rsidR="00B40272">
        <w:rPr>
          <w:rFonts w:ascii="Times New Roman" w:hAnsi="Times New Roman" w:cs="Times New Roman"/>
        </w:rPr>
        <w:t>237.685,94</w:t>
      </w:r>
      <w:r>
        <w:rPr>
          <w:rFonts w:ascii="Times New Roman" w:hAnsi="Times New Roman" w:cs="Times New Roman"/>
        </w:rPr>
        <w:t xml:space="preserve"> kn</w:t>
      </w:r>
    </w:p>
    <w:p w:rsidR="00704B0E" w:rsidRDefault="00B40272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A101925 Izgradnaj cesta u Tovarniku(M.Petrušić i prema pravoslavnom groblju) 783.607,19</w:t>
      </w:r>
    </w:p>
    <w:p w:rsidR="00B40272" w:rsidRDefault="00B40272" w:rsidP="00704B0E">
      <w:pPr>
        <w:spacing w:after="0" w:line="240" w:lineRule="auto"/>
        <w:rPr>
          <w:rFonts w:ascii="Times New Roman" w:hAnsi="Times New Roman" w:cs="Times New Roman"/>
        </w:rPr>
      </w:pP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Ciljevi:Poboljšanje i uređenje naselja za dobrobit stanovnika. Uređenje komunalne infrastrukture.</w:t>
      </w: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  <w:r w:rsidRPr="007A5E03">
        <w:rPr>
          <w:rFonts w:ascii="Times New Roman" w:hAnsi="Times New Roman" w:cs="Times New Roman"/>
          <w:b/>
        </w:rPr>
        <w:t>Program</w:t>
      </w:r>
      <w:r w:rsidR="00B40272">
        <w:rPr>
          <w:rFonts w:ascii="Times New Roman" w:hAnsi="Times New Roman" w:cs="Times New Roman"/>
          <w:b/>
        </w:rPr>
        <w:t xml:space="preserve"> 1013</w:t>
      </w:r>
      <w:r>
        <w:rPr>
          <w:rFonts w:ascii="Times New Roman" w:hAnsi="Times New Roman" w:cs="Times New Roman"/>
        </w:rPr>
        <w:t xml:space="preserve">: Održavanje komunalne infrastrukture. Po ovim programom izvršeno </w:t>
      </w:r>
      <w:r w:rsidR="0091615F">
        <w:rPr>
          <w:rFonts w:ascii="Times New Roman" w:hAnsi="Times New Roman" w:cs="Times New Roman"/>
        </w:rPr>
        <w:t>774.475,11</w:t>
      </w:r>
      <w:r>
        <w:rPr>
          <w:rFonts w:ascii="Times New Roman" w:hAnsi="Times New Roman" w:cs="Times New Roman"/>
        </w:rPr>
        <w:t xml:space="preserve"> kn.</w:t>
      </w:r>
    </w:p>
    <w:p w:rsidR="00704B0E" w:rsidRDefault="0091615F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A101315 Sanacija ruševnih kuća 248.647,00</w:t>
      </w: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</w:t>
      </w:r>
      <w:r w:rsidR="0091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91615F">
        <w:rPr>
          <w:rFonts w:ascii="Times New Roman" w:hAnsi="Times New Roman" w:cs="Times New Roman"/>
        </w:rPr>
        <w:t>101329 Održavanje javnih rasvjeta 136.899,35</w:t>
      </w: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</w:t>
      </w:r>
      <w:r w:rsidR="002C37D2">
        <w:rPr>
          <w:rFonts w:ascii="Times New Roman" w:hAnsi="Times New Roman" w:cs="Times New Roman"/>
        </w:rPr>
        <w:t xml:space="preserve"> K101314 N</w:t>
      </w:r>
      <w:r>
        <w:rPr>
          <w:rFonts w:ascii="Times New Roman" w:hAnsi="Times New Roman" w:cs="Times New Roman"/>
        </w:rPr>
        <w:t>abavka komunalne opreme</w:t>
      </w:r>
      <w:r w:rsidR="002C37D2">
        <w:rPr>
          <w:rFonts w:ascii="Times New Roman" w:hAnsi="Times New Roman" w:cs="Times New Roman"/>
        </w:rPr>
        <w:t xml:space="preserve"> 11.875,00</w:t>
      </w: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  <w:r w:rsidRPr="007A5E03">
        <w:rPr>
          <w:rFonts w:ascii="Times New Roman" w:hAnsi="Times New Roman" w:cs="Times New Roman"/>
          <w:b/>
        </w:rPr>
        <w:t>Program</w:t>
      </w:r>
      <w:r w:rsidR="002C37D2">
        <w:rPr>
          <w:rFonts w:ascii="Times New Roman" w:hAnsi="Times New Roman" w:cs="Times New Roman"/>
          <w:b/>
        </w:rPr>
        <w:t xml:space="preserve"> </w:t>
      </w:r>
      <w:r w:rsidR="008E10B4">
        <w:rPr>
          <w:rFonts w:ascii="Times New Roman" w:hAnsi="Times New Roman" w:cs="Times New Roman"/>
          <w:b/>
        </w:rPr>
        <w:t>1022</w:t>
      </w:r>
      <w:r>
        <w:rPr>
          <w:rFonts w:ascii="Times New Roman" w:hAnsi="Times New Roman" w:cs="Times New Roman"/>
        </w:rPr>
        <w:t xml:space="preserve"> Deratizacija i dezinfekcija. Pod ovim programom ostvareno je </w:t>
      </w:r>
      <w:r w:rsidR="008E10B4">
        <w:rPr>
          <w:rFonts w:ascii="Times New Roman" w:hAnsi="Times New Roman" w:cs="Times New Roman"/>
        </w:rPr>
        <w:t>74.197,50</w:t>
      </w:r>
      <w:r>
        <w:rPr>
          <w:rFonts w:ascii="Times New Roman" w:hAnsi="Times New Roman" w:cs="Times New Roman"/>
        </w:rPr>
        <w:t xml:space="preserve"> kn., a odnosi se na veterinarske i higijeničarske usluge, te deratizacija i dezinfekcija u oba naselja Ilača i Tovarnik.</w:t>
      </w: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  <w:r w:rsidRPr="007A5E03">
        <w:rPr>
          <w:rFonts w:ascii="Times New Roman" w:hAnsi="Times New Roman" w:cs="Times New Roman"/>
          <w:b/>
        </w:rPr>
        <w:t>Program</w:t>
      </w:r>
      <w:r w:rsidR="008E10B4">
        <w:rPr>
          <w:rFonts w:ascii="Times New Roman" w:hAnsi="Times New Roman" w:cs="Times New Roman"/>
          <w:b/>
        </w:rPr>
        <w:t xml:space="preserve"> 1017</w:t>
      </w:r>
      <w:r>
        <w:rPr>
          <w:rFonts w:ascii="Times New Roman" w:hAnsi="Times New Roman" w:cs="Times New Roman"/>
        </w:rPr>
        <w:t xml:space="preserve"> Javni radovi. Po ovim programom ostvareno je 2</w:t>
      </w:r>
      <w:r w:rsidR="008E10B4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</w:t>
      </w:r>
      <w:r w:rsidR="008E10B4">
        <w:rPr>
          <w:rFonts w:ascii="Times New Roman" w:hAnsi="Times New Roman" w:cs="Times New Roman"/>
        </w:rPr>
        <w:t>399</w:t>
      </w:r>
      <w:r>
        <w:rPr>
          <w:rFonts w:ascii="Times New Roman" w:hAnsi="Times New Roman" w:cs="Times New Roman"/>
        </w:rPr>
        <w:t>,</w:t>
      </w:r>
      <w:r w:rsidR="008E10B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kn i odnosi se na zapošljavanje sezonski djelatnosti za uređenje i košnju trave, uređenje kanala u naseljima Ilača i Tovarnik.</w:t>
      </w: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</w:p>
    <w:p w:rsidR="008E10B4" w:rsidRDefault="00704B0E" w:rsidP="00704B0E">
      <w:pPr>
        <w:spacing w:after="0" w:line="240" w:lineRule="auto"/>
        <w:rPr>
          <w:rFonts w:ascii="Times New Roman" w:hAnsi="Times New Roman" w:cs="Times New Roman"/>
        </w:rPr>
      </w:pPr>
      <w:r w:rsidRPr="007D4170">
        <w:rPr>
          <w:rFonts w:ascii="Times New Roman" w:hAnsi="Times New Roman" w:cs="Times New Roman"/>
          <w:b/>
        </w:rPr>
        <w:t>Program</w:t>
      </w:r>
      <w:r w:rsidR="008E10B4">
        <w:rPr>
          <w:rFonts w:ascii="Times New Roman" w:hAnsi="Times New Roman" w:cs="Times New Roman"/>
          <w:b/>
        </w:rPr>
        <w:t xml:space="preserve"> 1008 </w:t>
      </w:r>
      <w:r>
        <w:rPr>
          <w:rFonts w:ascii="Times New Roman" w:hAnsi="Times New Roman" w:cs="Times New Roman"/>
          <w:b/>
        </w:rPr>
        <w:t>R</w:t>
      </w:r>
      <w:r w:rsidRPr="007D4170">
        <w:rPr>
          <w:rFonts w:ascii="Times New Roman" w:hAnsi="Times New Roman" w:cs="Times New Roman"/>
        </w:rPr>
        <w:t>azvoj</w:t>
      </w:r>
      <w:r>
        <w:rPr>
          <w:rFonts w:ascii="Times New Roman" w:hAnsi="Times New Roman" w:cs="Times New Roman"/>
          <w:b/>
        </w:rPr>
        <w:t xml:space="preserve"> </w:t>
      </w:r>
      <w:r w:rsidRPr="007D4170">
        <w:rPr>
          <w:rFonts w:ascii="Times New Roman" w:hAnsi="Times New Roman" w:cs="Times New Roman"/>
        </w:rPr>
        <w:t xml:space="preserve">poljoprivredne </w:t>
      </w:r>
      <w:r>
        <w:rPr>
          <w:rFonts w:ascii="Times New Roman" w:hAnsi="Times New Roman" w:cs="Times New Roman"/>
        </w:rPr>
        <w:t xml:space="preserve">infrastrukturne djelatnosti. Pod ovim programom ostvareno je </w:t>
      </w:r>
      <w:r w:rsidR="008E10B4">
        <w:rPr>
          <w:rFonts w:ascii="Times New Roman" w:hAnsi="Times New Roman" w:cs="Times New Roman"/>
        </w:rPr>
        <w:t>770.577,36 kn.</w:t>
      </w:r>
    </w:p>
    <w:p w:rsidR="008E10B4" w:rsidRDefault="008E10B4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Aktivnsot A100828 katastarsko geodete izmjere iznosu 12.850,00kn</w:t>
      </w:r>
    </w:p>
    <w:p w:rsidR="008E10B4" w:rsidRDefault="008E10B4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A100811 uređenje kanalske mreže 12.250,00 kn</w:t>
      </w:r>
    </w:p>
    <w:p w:rsidR="008E10B4" w:rsidRDefault="008E10B4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Aktirnost A100831  subvencij</w:t>
      </w:r>
      <w:r w:rsidR="00F067F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obrtnicima 122.460,65 kn</w:t>
      </w:r>
    </w:p>
    <w:p w:rsidR="00F067FE" w:rsidRDefault="00F067FE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A100832 sufinancioranje razvoja poljoprivredne proizvodnje 332.709,20</w:t>
      </w:r>
    </w:p>
    <w:p w:rsidR="00F067FE" w:rsidRDefault="00F067FE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Aktivnost K100810 uređenje poljskih putea i optresnica 290.307,51</w:t>
      </w:r>
    </w:p>
    <w:p w:rsidR="00704B0E" w:rsidRDefault="008E10B4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</w:p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9"/>
        <w:tblOverlap w:val="never"/>
        <w:tblW w:w="9917" w:type="dxa"/>
        <w:tblLook w:val="04A0"/>
      </w:tblPr>
      <w:tblGrid>
        <w:gridCol w:w="9917"/>
      </w:tblGrid>
      <w:tr w:rsidR="00704B0E" w:rsidRPr="000B5B8C" w:rsidTr="00E20DEF">
        <w:trPr>
          <w:trHeight w:val="630"/>
        </w:trPr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704B0E" w:rsidRPr="000B5B8C" w:rsidRDefault="00704B0E" w:rsidP="00F06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Razdjel  </w:t>
            </w:r>
            <w:r w:rsidR="00F067FE">
              <w:rPr>
                <w:rFonts w:ascii="Times New Roman" w:eastAsia="Times New Roman" w:hAnsi="Times New Roman" w:cs="Times New Roman"/>
                <w:lang w:eastAsia="hr-HR"/>
              </w:rPr>
              <w:t>00105</w:t>
            </w:r>
            <w:r w:rsidRPr="000B5B8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SOCIJALNA SKRB</w:t>
            </w:r>
          </w:p>
        </w:tc>
      </w:tr>
      <w:tr w:rsidR="00704B0E" w:rsidRPr="000B5B8C" w:rsidTr="00E20DEF">
        <w:trPr>
          <w:trHeight w:val="315"/>
        </w:trPr>
        <w:tc>
          <w:tcPr>
            <w:tcW w:w="99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704B0E" w:rsidRPr="000B5B8C" w:rsidRDefault="00704B0E" w:rsidP="00F06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5B8C">
              <w:rPr>
                <w:rFonts w:ascii="Times New Roman" w:eastAsia="Times New Roman" w:hAnsi="Times New Roman" w:cs="Times New Roman"/>
                <w:lang w:eastAsia="hr-HR"/>
              </w:rPr>
              <w:t>Glava/ program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F067FE">
              <w:rPr>
                <w:rFonts w:ascii="Times New Roman" w:eastAsia="Times New Roman" w:hAnsi="Times New Roman" w:cs="Times New Roman"/>
                <w:lang w:eastAsia="hr-HR"/>
              </w:rPr>
              <w:t>00105</w:t>
            </w:r>
            <w:r w:rsidRPr="000B5B8C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SOCIJALNI PROGRAM</w:t>
            </w:r>
          </w:p>
        </w:tc>
      </w:tr>
    </w:tbl>
    <w:p w:rsidR="00704B0E" w:rsidRDefault="00704B0E" w:rsidP="00704B0E">
      <w:pPr>
        <w:spacing w:after="0" w:line="240" w:lineRule="auto"/>
        <w:rPr>
          <w:rFonts w:ascii="Times New Roman" w:hAnsi="Times New Roman" w:cs="Times New Roman"/>
        </w:rPr>
      </w:pPr>
      <w:r w:rsidRPr="00F453AD">
        <w:rPr>
          <w:rFonts w:ascii="Times New Roman" w:hAnsi="Times New Roman" w:cs="Times New Roman"/>
          <w:b/>
        </w:rPr>
        <w:t>Program</w:t>
      </w:r>
      <w:r w:rsidR="00F067FE">
        <w:rPr>
          <w:rFonts w:ascii="Times New Roman" w:hAnsi="Times New Roman" w:cs="Times New Roman"/>
          <w:b/>
        </w:rPr>
        <w:t xml:space="preserve"> 1007</w:t>
      </w:r>
      <w:r>
        <w:rPr>
          <w:rFonts w:ascii="Times New Roman" w:hAnsi="Times New Roman" w:cs="Times New Roman"/>
        </w:rPr>
        <w:t xml:space="preserve"> Socijaln</w:t>
      </w:r>
      <w:r w:rsidR="00F067F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F067FE">
        <w:rPr>
          <w:rFonts w:ascii="Times New Roman" w:hAnsi="Times New Roman" w:cs="Times New Roman"/>
        </w:rPr>
        <w:t>program</w:t>
      </w:r>
    </w:p>
    <w:p w:rsidR="00704B0E" w:rsidRPr="007D4170" w:rsidRDefault="00704B0E" w:rsidP="00704B0E">
      <w:pPr>
        <w:spacing w:after="0" w:line="240" w:lineRule="auto"/>
        <w:rPr>
          <w:rFonts w:ascii="Times New Roman" w:hAnsi="Times New Roman" w:cs="Times New Roman"/>
        </w:rPr>
      </w:pPr>
    </w:p>
    <w:p w:rsidR="00704B0E" w:rsidRPr="002C3087" w:rsidRDefault="00704B0E" w:rsidP="00704B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ovim ovim programom ostvareno je </w:t>
      </w:r>
      <w:r w:rsidR="00F067FE">
        <w:rPr>
          <w:rFonts w:ascii="Times New Roman" w:hAnsi="Times New Roman" w:cs="Times New Roman"/>
        </w:rPr>
        <w:t>1.947.543,34</w:t>
      </w:r>
      <w:r>
        <w:rPr>
          <w:rFonts w:ascii="Times New Roman" w:hAnsi="Times New Roman" w:cs="Times New Roman"/>
        </w:rPr>
        <w:t xml:space="preserve">kn. Sredstva su izvršena za troškove stanovanja u iznosu </w:t>
      </w:r>
      <w:r w:rsidR="00F067FE">
        <w:rPr>
          <w:rFonts w:ascii="Times New Roman" w:hAnsi="Times New Roman" w:cs="Times New Roman"/>
        </w:rPr>
        <w:t>72.378,14</w:t>
      </w:r>
      <w:r>
        <w:rPr>
          <w:rFonts w:ascii="Times New Roman" w:hAnsi="Times New Roman" w:cs="Times New Roman"/>
        </w:rPr>
        <w:t xml:space="preserve"> kn, rad karitativnh udruga u iznosu </w:t>
      </w:r>
      <w:r w:rsidR="00F067F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</w:r>
      <w:r w:rsidR="00F067FE">
        <w:rPr>
          <w:rFonts w:ascii="Times New Roman" w:hAnsi="Times New Roman" w:cs="Times New Roman"/>
        </w:rPr>
        <w:t>000,</w:t>
      </w:r>
      <w:r>
        <w:rPr>
          <w:rFonts w:ascii="Times New Roman" w:hAnsi="Times New Roman" w:cs="Times New Roman"/>
        </w:rPr>
        <w:t>00 kn; ostali oblici jednokratnih pomoći za uskrsne i božićne pakete socijalno ugroženih obitelji</w:t>
      </w:r>
      <w:r w:rsidR="00F067FE">
        <w:rPr>
          <w:rFonts w:ascii="Times New Roman" w:hAnsi="Times New Roman" w:cs="Times New Roman"/>
        </w:rPr>
        <w:t xml:space="preserve"> 281.721,86</w:t>
      </w:r>
      <w:r>
        <w:rPr>
          <w:rFonts w:ascii="Times New Roman" w:hAnsi="Times New Roman" w:cs="Times New Roman"/>
        </w:rPr>
        <w:t>, pomoć za nabavku drva, podmirenje troškova prehrane djece u osnovnim školama.</w:t>
      </w:r>
    </w:p>
    <w:p w:rsidR="00704B0E" w:rsidRDefault="00704B0E" w:rsidP="0070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704B0E" w:rsidRPr="00F453AD" w:rsidRDefault="00704B0E" w:rsidP="0070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53AD">
        <w:rPr>
          <w:rFonts w:ascii="Times New Roman" w:hAnsi="Times New Roman" w:cs="Times New Roman"/>
          <w:b/>
        </w:rPr>
        <w:t>Program</w:t>
      </w:r>
      <w:r w:rsidR="00F067FE">
        <w:rPr>
          <w:rFonts w:ascii="Times New Roman" w:hAnsi="Times New Roman" w:cs="Times New Roman"/>
          <w:b/>
        </w:rPr>
        <w:t xml:space="preserve"> 1012</w:t>
      </w:r>
      <w:r>
        <w:rPr>
          <w:rFonts w:ascii="Times New Roman" w:hAnsi="Times New Roman" w:cs="Times New Roman"/>
        </w:rPr>
        <w:t xml:space="preserve">Pomoć starijim i nemoćnim osobama. Pod ovim programom ostvareno je </w:t>
      </w:r>
      <w:r w:rsidR="00F067FE">
        <w:rPr>
          <w:rFonts w:ascii="Times New Roman" w:hAnsi="Times New Roman" w:cs="Times New Roman"/>
        </w:rPr>
        <w:t>9.265,30</w:t>
      </w:r>
      <w:r>
        <w:rPr>
          <w:rFonts w:ascii="Times New Roman" w:hAnsi="Times New Roman" w:cs="Times New Roman"/>
        </w:rPr>
        <w:t xml:space="preserve"> kn, odnosi se plaće zaposlenih, te ostale naknade u ovom programu</w:t>
      </w:r>
    </w:p>
    <w:p w:rsidR="00704B0E" w:rsidRPr="009D0EA6" w:rsidRDefault="00704B0E" w:rsidP="00704B0E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</w:p>
    <w:p w:rsidR="00704B0E" w:rsidRPr="00801E24" w:rsidRDefault="00704B0E" w:rsidP="00704B0E">
      <w:pPr>
        <w:framePr w:hSpace="180" w:wrap="around" w:vAnchor="text" w:hAnchor="page" w:x="1711" w:y="657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Pr="00801E24">
        <w:rPr>
          <w:rFonts w:ascii="Times New Roman" w:eastAsia="Times New Roman" w:hAnsi="Times New Roman" w:cs="Times New Roman"/>
          <w:b/>
          <w:lang w:eastAsia="hr-HR"/>
        </w:rPr>
        <w:t xml:space="preserve">Ciljevi: </w:t>
      </w:r>
      <w:r w:rsidRPr="00801E24">
        <w:rPr>
          <w:rFonts w:ascii="Times New Roman" w:eastAsia="Times New Roman" w:hAnsi="Times New Roman" w:cs="Times New Roman"/>
          <w:lang w:eastAsia="hr-HR"/>
        </w:rPr>
        <w:t>Pomoći starijim i nemoćnim osobama</w:t>
      </w:r>
    </w:p>
    <w:p w:rsidR="00704B0E" w:rsidRDefault="00704B0E" w:rsidP="00704B0E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801E24">
        <w:rPr>
          <w:rFonts w:ascii="Times New Roman" w:eastAsia="Times New Roman" w:hAnsi="Times New Roman" w:cs="Times New Roman"/>
          <w:b/>
          <w:lang w:eastAsia="hr-HR"/>
        </w:rPr>
        <w:t xml:space="preserve">Pokazatelji uspješnosti: </w:t>
      </w:r>
      <w:r w:rsidRPr="00801E24">
        <w:rPr>
          <w:rFonts w:ascii="Times New Roman" w:eastAsia="Times New Roman" w:hAnsi="Times New Roman" w:cs="Times New Roman"/>
          <w:lang w:eastAsia="hr-HR"/>
        </w:rPr>
        <w:t>Poboljšanje kvalitete življenja na području općine</w:t>
      </w:r>
      <w:r>
        <w:rPr>
          <w:rFonts w:ascii="Times New Roman" w:eastAsia="Times New Roman" w:hAnsi="Times New Roman" w:cs="Times New Roman"/>
          <w:lang w:eastAsia="hr-HR"/>
        </w:rPr>
        <w:t>.</w:t>
      </w:r>
    </w:p>
    <w:p w:rsidR="00704B0E" w:rsidRPr="00801E24" w:rsidRDefault="00704B0E" w:rsidP="00704B0E">
      <w:pPr>
        <w:spacing w:after="0" w:line="2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pPr w:leftFromText="180" w:rightFromText="180" w:vertAnchor="text" w:horzAnchor="margin" w:tblpY="49"/>
        <w:tblOverlap w:val="never"/>
        <w:tblW w:w="10025" w:type="dxa"/>
        <w:tblLook w:val="04A0"/>
      </w:tblPr>
      <w:tblGrid>
        <w:gridCol w:w="108"/>
        <w:gridCol w:w="9809"/>
        <w:gridCol w:w="108"/>
      </w:tblGrid>
      <w:tr w:rsidR="00704B0E" w:rsidRPr="000B5B8C" w:rsidTr="00E20DEF">
        <w:trPr>
          <w:gridAfter w:val="1"/>
          <w:wAfter w:w="108" w:type="dxa"/>
          <w:trHeight w:val="630"/>
        </w:trPr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bottom"/>
            <w:hideMark/>
          </w:tcPr>
          <w:p w:rsidR="00704B0E" w:rsidRPr="000B5B8C" w:rsidRDefault="00704B0E" w:rsidP="00E20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Razdjel  008</w:t>
            </w:r>
            <w:r w:rsidR="009D0089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PREKOGRANIČNA SURADNJA</w:t>
            </w:r>
          </w:p>
        </w:tc>
      </w:tr>
      <w:tr w:rsidR="00704B0E" w:rsidRPr="000B5B8C" w:rsidTr="00E20DEF">
        <w:trPr>
          <w:gridBefore w:val="1"/>
          <w:wBefore w:w="108" w:type="dxa"/>
          <w:trHeight w:val="315"/>
        </w:trPr>
        <w:tc>
          <w:tcPr>
            <w:tcW w:w="9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704B0E" w:rsidRPr="000B5B8C" w:rsidRDefault="00704B0E" w:rsidP="00F067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B5B8C">
              <w:rPr>
                <w:rFonts w:ascii="Times New Roman" w:eastAsia="Times New Roman" w:hAnsi="Times New Roman" w:cs="Times New Roman"/>
                <w:lang w:eastAsia="hr-HR"/>
              </w:rPr>
              <w:t>Glava/ program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F067FE">
              <w:rPr>
                <w:rFonts w:ascii="Times New Roman" w:eastAsia="Times New Roman" w:hAnsi="Times New Roman" w:cs="Times New Roman"/>
                <w:lang w:eastAsia="hr-HR"/>
              </w:rPr>
              <w:t>00107</w:t>
            </w:r>
            <w:r w:rsidRPr="000B5B8C">
              <w:rPr>
                <w:rFonts w:ascii="Times New Roman" w:eastAsia="Times New Roman" w:hAnsi="Times New Roman" w:cs="Times New Roman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PODRŠKA PODUZETNICIMA U PROVEDBI PROJEKATA</w:t>
            </w:r>
          </w:p>
        </w:tc>
      </w:tr>
    </w:tbl>
    <w:p w:rsidR="00704B0E" w:rsidRDefault="00704B0E" w:rsidP="00704B0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704B0E" w:rsidRDefault="00704B0E" w:rsidP="00704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Pod ovim programom ostvareno je </w:t>
      </w:r>
      <w:r w:rsidR="00F067FE">
        <w:rPr>
          <w:rFonts w:ascii="Times New Roman" w:eastAsia="Times New Roman" w:hAnsi="Times New Roman" w:cs="Times New Roman"/>
          <w:color w:val="000000"/>
          <w:lang w:eastAsia="hr-HR"/>
        </w:rPr>
        <w:t>357.835,45</w:t>
      </w:r>
      <w:r>
        <w:rPr>
          <w:rFonts w:ascii="Times New Roman" w:eastAsia="Times New Roman" w:hAnsi="Times New Roman" w:cs="Times New Roman"/>
          <w:color w:val="000000"/>
          <w:lang w:eastAsia="hr-HR"/>
        </w:rPr>
        <w:t>kn, i odnosi se plaće zaposlenih i ostale naknade zaposlenih, te nabavku uredskog materijala za potrebe redovitog poslovanja.</w:t>
      </w:r>
    </w:p>
    <w:p w:rsidR="00F067FE" w:rsidRDefault="00F067FE" w:rsidP="00704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067FE" w:rsidRDefault="00F067FE" w:rsidP="00704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067FE" w:rsidRDefault="00F067FE" w:rsidP="00704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Projekt 1011 Zaželi</w:t>
      </w:r>
    </w:p>
    <w:p w:rsidR="00F067FE" w:rsidRPr="00F269D6" w:rsidRDefault="00F067FE" w:rsidP="00704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Ostvareno 1.551.178,04 odnosi se na plaće zaposlenih, naknade troškova i rashodi za materijal, energiju i usluge, postrojenja  i opreme, prijevozna sredstva i ostali nespomenuti rashodi poslovanja.</w:t>
      </w:r>
    </w:p>
    <w:p w:rsidR="00704B0E" w:rsidRPr="00D80FEA" w:rsidRDefault="00704B0E" w:rsidP="00704B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</w:rPr>
        <w:t xml:space="preserve"> </w:t>
      </w:r>
    </w:p>
    <w:p w:rsidR="00704B0E" w:rsidRPr="004D6A76" w:rsidRDefault="00704B0E" w:rsidP="00704B0E">
      <w:p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</w:p>
    <w:p w:rsidR="00704B0E" w:rsidRDefault="00704B0E" w:rsidP="00704B0E">
      <w:pPr>
        <w:spacing w:after="0" w:line="0" w:lineRule="atLeast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704B0E" w:rsidRPr="00FD45F8" w:rsidRDefault="00704B0E" w:rsidP="00704B0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04B0E" w:rsidRPr="00FD45F8" w:rsidRDefault="00516BAF" w:rsidP="00516BA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rPr>
          <w:rFonts w:ascii="Times New Roman" w:hAnsi="Times New Roman"/>
        </w:rPr>
        <w:t>Ukupno ostvareni prihodi u 2018. iznose 11.351.812,29kn, ukupni rashodi 13.110.033,24kn , što daje manjnak prihoda u tekućoj godini 1.758.220,95kn te se pokriva iz viška prihoda iz 2017. Godine koji iznosi 3.293.283,13 te proizlazi vipak prihoda u iznosu 1.535.062,19kn raspoloživ u 2019. godini.</w:t>
      </w:r>
    </w:p>
    <w:p w:rsidR="00704B0E" w:rsidRPr="00D95ACD" w:rsidRDefault="00704B0E" w:rsidP="00704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4B0E" w:rsidRDefault="00704B0E" w:rsidP="00704B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Članak 2. </w:t>
      </w:r>
    </w:p>
    <w:p w:rsidR="00704B0E" w:rsidRDefault="00704B0E" w:rsidP="0070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4B0E" w:rsidRDefault="00704B0E" w:rsidP="00704B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Godišnji izvještaj o izvršenju Proračuna Općine Tovarnik za 201</w:t>
      </w:r>
      <w:r w:rsidR="008D568E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godinu, objavit će se u „Službenom vjesniku“ Vukovarsko-srijemske županije.</w:t>
      </w:r>
    </w:p>
    <w:p w:rsidR="00704B0E" w:rsidRDefault="00704B0E" w:rsidP="0070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E3E20" w:rsidRDefault="00DE3E20" w:rsidP="0070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4B0E" w:rsidRDefault="00704B0E" w:rsidP="00704B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4B0E" w:rsidRDefault="00704B0E" w:rsidP="00704B0E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Predsjednik Općinskog vijeća</w:t>
      </w:r>
    </w:p>
    <w:p w:rsidR="00704B0E" w:rsidRDefault="00704B0E" w:rsidP="00704B0E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Dubravko Blašković</w:t>
      </w:r>
      <w:bookmarkStart w:id="0" w:name="_GoBack"/>
      <w:bookmarkEnd w:id="0"/>
    </w:p>
    <w:sectPr w:rsidR="00704B0E" w:rsidSect="00E20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26" w:rsidRDefault="00583D26">
      <w:pPr>
        <w:spacing w:after="0" w:line="240" w:lineRule="auto"/>
      </w:pPr>
      <w:r>
        <w:separator/>
      </w:r>
    </w:p>
  </w:endnote>
  <w:endnote w:type="continuationSeparator" w:id="0">
    <w:p w:rsidR="00583D26" w:rsidRDefault="0058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EF" w:rsidRDefault="00E20D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EF" w:rsidRDefault="00E20D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EF" w:rsidRDefault="00E20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26" w:rsidRDefault="00583D26">
      <w:pPr>
        <w:spacing w:after="0" w:line="240" w:lineRule="auto"/>
      </w:pPr>
      <w:r>
        <w:separator/>
      </w:r>
    </w:p>
  </w:footnote>
  <w:footnote w:type="continuationSeparator" w:id="0">
    <w:p w:rsidR="00583D26" w:rsidRDefault="0058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EF" w:rsidRDefault="00E20D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EF" w:rsidRDefault="00E20DEF">
    <w:pPr>
      <w:pStyle w:val="Header"/>
    </w:pPr>
  </w:p>
  <w:p w:rsidR="00E20DEF" w:rsidRDefault="00E20DEF">
    <w:pPr>
      <w:pStyle w:val="Header"/>
    </w:pPr>
  </w:p>
  <w:p w:rsidR="00E20DEF" w:rsidRDefault="00E20D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DEF" w:rsidRDefault="00E20D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0E"/>
    <w:rsid w:val="00013A05"/>
    <w:rsid w:val="00057479"/>
    <w:rsid w:val="00094547"/>
    <w:rsid w:val="000B16F0"/>
    <w:rsid w:val="000B3FA6"/>
    <w:rsid w:val="000C7283"/>
    <w:rsid w:val="00101308"/>
    <w:rsid w:val="00113E40"/>
    <w:rsid w:val="001A14E3"/>
    <w:rsid w:val="001C1234"/>
    <w:rsid w:val="001D38EC"/>
    <w:rsid w:val="002255A6"/>
    <w:rsid w:val="00264017"/>
    <w:rsid w:val="0028042B"/>
    <w:rsid w:val="002C37D2"/>
    <w:rsid w:val="002C42CF"/>
    <w:rsid w:val="002E1217"/>
    <w:rsid w:val="003A1EA9"/>
    <w:rsid w:val="003A54E1"/>
    <w:rsid w:val="003B1734"/>
    <w:rsid w:val="003D40DF"/>
    <w:rsid w:val="003E05A8"/>
    <w:rsid w:val="003E07E6"/>
    <w:rsid w:val="00416353"/>
    <w:rsid w:val="00420DDE"/>
    <w:rsid w:val="00475736"/>
    <w:rsid w:val="00482388"/>
    <w:rsid w:val="005136EB"/>
    <w:rsid w:val="00516BAF"/>
    <w:rsid w:val="005448C0"/>
    <w:rsid w:val="00583D26"/>
    <w:rsid w:val="005D2B38"/>
    <w:rsid w:val="006058AC"/>
    <w:rsid w:val="006B27EF"/>
    <w:rsid w:val="00704B0E"/>
    <w:rsid w:val="00724C9C"/>
    <w:rsid w:val="00744344"/>
    <w:rsid w:val="00792835"/>
    <w:rsid w:val="0079357B"/>
    <w:rsid w:val="00793C58"/>
    <w:rsid w:val="007A4E1D"/>
    <w:rsid w:val="007C45A0"/>
    <w:rsid w:val="007E116A"/>
    <w:rsid w:val="00807167"/>
    <w:rsid w:val="008C489D"/>
    <w:rsid w:val="008D568E"/>
    <w:rsid w:val="008E10B4"/>
    <w:rsid w:val="0091615F"/>
    <w:rsid w:val="00983D5A"/>
    <w:rsid w:val="009D0089"/>
    <w:rsid w:val="00A46FA7"/>
    <w:rsid w:val="00AB58BC"/>
    <w:rsid w:val="00AC70DE"/>
    <w:rsid w:val="00B40272"/>
    <w:rsid w:val="00B81397"/>
    <w:rsid w:val="00CB1A6A"/>
    <w:rsid w:val="00CD014A"/>
    <w:rsid w:val="00CD6358"/>
    <w:rsid w:val="00CF5C22"/>
    <w:rsid w:val="00D052DE"/>
    <w:rsid w:val="00D40039"/>
    <w:rsid w:val="00D53F70"/>
    <w:rsid w:val="00D759E2"/>
    <w:rsid w:val="00DB0396"/>
    <w:rsid w:val="00DD32EC"/>
    <w:rsid w:val="00DE3AFC"/>
    <w:rsid w:val="00DE3E20"/>
    <w:rsid w:val="00DE5790"/>
    <w:rsid w:val="00DF61E6"/>
    <w:rsid w:val="00E012CD"/>
    <w:rsid w:val="00E20DEF"/>
    <w:rsid w:val="00EB3B8F"/>
    <w:rsid w:val="00F067FE"/>
    <w:rsid w:val="00F67975"/>
    <w:rsid w:val="00F759B6"/>
    <w:rsid w:val="00FB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4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04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B0E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0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0E"/>
  </w:style>
  <w:style w:type="paragraph" w:styleId="Footer">
    <w:name w:val="footer"/>
    <w:basedOn w:val="Normal"/>
    <w:link w:val="FooterChar"/>
    <w:uiPriority w:val="99"/>
    <w:unhideWhenUsed/>
    <w:rsid w:val="0070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0641-B431-4A73-8879-995FDBFC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2315</Words>
  <Characters>13197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52</cp:revision>
  <cp:lastPrinted>2019-04-05T13:11:00Z</cp:lastPrinted>
  <dcterms:created xsi:type="dcterms:W3CDTF">2019-04-05T08:59:00Z</dcterms:created>
  <dcterms:modified xsi:type="dcterms:W3CDTF">2019-04-08T11:43:00Z</dcterms:modified>
</cp:coreProperties>
</file>