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60" w:rsidRPr="00CA0123" w:rsidRDefault="00CA0123" w:rsidP="00DF7760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CA0123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2046257</wp:posOffset>
            </wp:positionH>
            <wp:positionV relativeFrom="page">
              <wp:posOffset>543464</wp:posOffset>
            </wp:positionV>
            <wp:extent cx="403645" cy="5175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5" cy="51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760" w:rsidRPr="00CA0123" w:rsidRDefault="00DF7760" w:rsidP="00DF7760">
      <w:pPr>
        <w:rPr>
          <w:rFonts w:asciiTheme="majorHAnsi" w:hAnsiTheme="majorHAnsi"/>
          <w:b/>
          <w:sz w:val="24"/>
          <w:szCs w:val="24"/>
        </w:rPr>
      </w:pPr>
    </w:p>
    <w:p w:rsidR="00CA0123" w:rsidRPr="00CA0123" w:rsidRDefault="00CA0123" w:rsidP="00CA0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Pr="00CA0123">
        <w:rPr>
          <w:rFonts w:ascii="Times New Roman" w:hAnsi="Times New Roman" w:cs="Times New Roman"/>
          <w:sz w:val="24"/>
          <w:szCs w:val="24"/>
        </w:rPr>
        <w:t>REPUBLIKA HRVATSKA</w:t>
      </w:r>
    </w:p>
    <w:p w:rsidR="00CA0123" w:rsidRPr="00CA0123" w:rsidRDefault="00CA0123" w:rsidP="00CA01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123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CA0123" w:rsidRPr="00CA0123" w:rsidRDefault="00CA0123" w:rsidP="00CA01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1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151130</wp:posOffset>
            </wp:positionV>
            <wp:extent cx="346710" cy="429260"/>
            <wp:effectExtent l="19050" t="0" r="0" b="0"/>
            <wp:wrapSquare wrapText="bothSides"/>
            <wp:docPr id="3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123" w:rsidRPr="00CA0123" w:rsidRDefault="00CA0123" w:rsidP="00CA01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0123">
        <w:rPr>
          <w:rFonts w:ascii="Times New Roman" w:hAnsi="Times New Roman" w:cs="Times New Roman"/>
          <w:b/>
          <w:sz w:val="24"/>
          <w:szCs w:val="24"/>
        </w:rPr>
        <w:t xml:space="preserve">OPĆINA TOVARNIK </w:t>
      </w:r>
    </w:p>
    <w:p w:rsidR="00CA0123" w:rsidRPr="00CA0123" w:rsidRDefault="00ED03CF" w:rsidP="00CA01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CA0123" w:rsidRDefault="00CA0123" w:rsidP="00CA0123">
      <w:pPr>
        <w:pStyle w:val="NoSpacing"/>
        <w:rPr>
          <w:rFonts w:ascii="Times New Roman" w:hAnsi="Times New Roman"/>
        </w:rPr>
      </w:pPr>
    </w:p>
    <w:p w:rsidR="00544A52" w:rsidRPr="00CA0123" w:rsidRDefault="0071769B" w:rsidP="00CA01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0123">
        <w:rPr>
          <w:rFonts w:ascii="Times New Roman" w:hAnsi="Times New Roman" w:cs="Times New Roman"/>
          <w:sz w:val="24"/>
          <w:szCs w:val="24"/>
        </w:rPr>
        <w:t>Klasa</w:t>
      </w:r>
      <w:r w:rsidR="000F747F" w:rsidRPr="00CA0123">
        <w:rPr>
          <w:rFonts w:ascii="Times New Roman" w:hAnsi="Times New Roman" w:cs="Times New Roman"/>
          <w:sz w:val="24"/>
          <w:szCs w:val="24"/>
        </w:rPr>
        <w:t>:021-05/16-03/03</w:t>
      </w:r>
    </w:p>
    <w:p w:rsidR="00A04EBD" w:rsidRPr="00CA0123" w:rsidRDefault="00A04EBD" w:rsidP="00CA012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A0123">
        <w:rPr>
          <w:rFonts w:ascii="Times New Roman" w:hAnsi="Times New Roman" w:cs="Times New Roman"/>
          <w:bCs/>
          <w:sz w:val="24"/>
          <w:szCs w:val="24"/>
        </w:rPr>
        <w:t xml:space="preserve">Urbroj: </w:t>
      </w:r>
      <w:r w:rsidR="000F747F" w:rsidRPr="00CA0123">
        <w:rPr>
          <w:rFonts w:ascii="Times New Roman" w:hAnsi="Times New Roman" w:cs="Times New Roman"/>
          <w:bCs/>
          <w:sz w:val="24"/>
          <w:szCs w:val="24"/>
        </w:rPr>
        <w:t>2188/12-04-16-1</w:t>
      </w:r>
    </w:p>
    <w:p w:rsidR="00A04EBD" w:rsidRPr="00D86047" w:rsidRDefault="00DF7760" w:rsidP="00A04EBD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Tovarnik</w:t>
      </w:r>
      <w:r w:rsidR="00DD0137" w:rsidRPr="00D86047">
        <w:rPr>
          <w:rFonts w:asciiTheme="majorHAnsi" w:hAnsiTheme="majorHAnsi"/>
          <w:bCs/>
        </w:rPr>
        <w:t xml:space="preserve">, </w:t>
      </w:r>
      <w:r w:rsidR="000F747F">
        <w:rPr>
          <w:rFonts w:asciiTheme="majorHAnsi" w:hAnsiTheme="majorHAnsi"/>
          <w:bCs/>
        </w:rPr>
        <w:t xml:space="preserve">15. ožujka </w:t>
      </w:r>
      <w:r w:rsidR="00D86047" w:rsidRPr="00D86047">
        <w:rPr>
          <w:rFonts w:asciiTheme="majorHAnsi" w:hAnsiTheme="majorHAnsi"/>
          <w:bCs/>
        </w:rPr>
        <w:t>2016</w:t>
      </w:r>
      <w:r w:rsidR="0071769B" w:rsidRPr="00D86047">
        <w:rPr>
          <w:rFonts w:asciiTheme="majorHAnsi" w:hAnsiTheme="majorHAnsi"/>
          <w:bCs/>
        </w:rPr>
        <w:t>.</w:t>
      </w:r>
      <w:r w:rsidR="00A04EBD" w:rsidRPr="00D86047">
        <w:rPr>
          <w:rFonts w:asciiTheme="majorHAnsi" w:hAnsiTheme="majorHAnsi"/>
          <w:bCs/>
        </w:rPr>
        <w:t xml:space="preserve"> godine</w:t>
      </w:r>
    </w:p>
    <w:p w:rsidR="00FE4437" w:rsidRPr="00D86047" w:rsidRDefault="00FE4437" w:rsidP="00FE4437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FE4437" w:rsidRPr="00D86047" w:rsidRDefault="00043C33" w:rsidP="00FE4437">
      <w:pPr>
        <w:spacing w:after="0" w:line="240" w:lineRule="auto"/>
        <w:jc w:val="both"/>
        <w:rPr>
          <w:rFonts w:asciiTheme="majorHAnsi" w:hAnsiTheme="majorHAnsi" w:cstheme="minorHAnsi"/>
        </w:rPr>
      </w:pPr>
      <w:r w:rsidRPr="00D86047">
        <w:rPr>
          <w:rFonts w:asciiTheme="majorHAnsi" w:hAnsiTheme="majorHAnsi" w:cstheme="minorHAnsi"/>
        </w:rPr>
        <w:t>Na temelju članka 26</w:t>
      </w:r>
      <w:r w:rsidR="00FE4437" w:rsidRPr="00D86047">
        <w:rPr>
          <w:rFonts w:asciiTheme="majorHAnsi" w:hAnsiTheme="majorHAnsi" w:cstheme="minorHAnsi"/>
        </w:rPr>
        <w:t>.</w:t>
      </w:r>
      <w:r w:rsidRPr="00D86047">
        <w:rPr>
          <w:rFonts w:asciiTheme="majorHAnsi" w:hAnsiTheme="majorHAnsi" w:cstheme="minorHAnsi"/>
        </w:rPr>
        <w:t xml:space="preserve"> i 27.</w:t>
      </w:r>
      <w:r w:rsidR="00FE4437" w:rsidRPr="00D86047">
        <w:rPr>
          <w:rFonts w:asciiTheme="majorHAnsi" w:hAnsiTheme="majorHAnsi" w:cstheme="minorHAnsi"/>
        </w:rPr>
        <w:t xml:space="preserve"> Zakona o koncesijama (''Narodne novine'' br. </w:t>
      </w:r>
      <w:r w:rsidR="0054174D" w:rsidRPr="00D86047">
        <w:rPr>
          <w:rFonts w:asciiTheme="majorHAnsi" w:hAnsiTheme="majorHAnsi" w:cstheme="minorHAnsi"/>
        </w:rPr>
        <w:t>143/12</w:t>
      </w:r>
      <w:r w:rsidR="00FE4437" w:rsidRPr="00D86047">
        <w:rPr>
          <w:rFonts w:asciiTheme="majorHAnsi" w:hAnsiTheme="majorHAnsi" w:cstheme="minorHAnsi"/>
        </w:rPr>
        <w:t xml:space="preserve">.), </w:t>
      </w:r>
      <w:r w:rsidRPr="00D86047">
        <w:rPr>
          <w:rFonts w:asciiTheme="majorHAnsi" w:hAnsiTheme="majorHAnsi" w:cstheme="minorHAnsi"/>
        </w:rPr>
        <w:t xml:space="preserve">članka 12. Zakona o komunalnom gospodarstvu </w:t>
      </w:r>
      <w:r w:rsidR="002A1E29" w:rsidRPr="00D86047">
        <w:rPr>
          <w:rFonts w:asciiTheme="majorHAnsi" w:hAnsiTheme="majorHAnsi" w:cstheme="minorHAnsi"/>
        </w:rPr>
        <w:t xml:space="preserve">(''Narodne novine'' br. </w:t>
      </w:r>
      <w:r w:rsidR="002A1E29" w:rsidRPr="00D86047">
        <w:rPr>
          <w:rFonts w:asciiTheme="majorHAnsi" w:hAnsiTheme="majorHAnsi" w:cs="TTE1EED948t00"/>
        </w:rPr>
        <w:t>26/03. - pročišćeni tekst, 82/04., 178/04., 38/09., 79/09., 153/09., 49</w:t>
      </w:r>
      <w:r w:rsidR="0071769B" w:rsidRPr="00D86047">
        <w:rPr>
          <w:rFonts w:asciiTheme="majorHAnsi" w:hAnsiTheme="majorHAnsi" w:cs="TTE1EED948t00"/>
        </w:rPr>
        <w:t xml:space="preserve">/11., 84/11., 90/11., 144/12., </w:t>
      </w:r>
      <w:r w:rsidR="002A1E29" w:rsidRPr="00D86047">
        <w:rPr>
          <w:rFonts w:asciiTheme="majorHAnsi" w:hAnsiTheme="majorHAnsi" w:cs="TTE1EED948t00"/>
        </w:rPr>
        <w:t>94/13.</w:t>
      </w:r>
      <w:r w:rsidR="0071769B" w:rsidRPr="00D86047">
        <w:rPr>
          <w:rFonts w:asciiTheme="majorHAnsi" w:hAnsiTheme="majorHAnsi" w:cs="TTE1EED948t00"/>
        </w:rPr>
        <w:t>, 153/13., 147/14. i 36/15.</w:t>
      </w:r>
      <w:r w:rsidR="002A1E29" w:rsidRPr="00D86047">
        <w:rPr>
          <w:rFonts w:asciiTheme="majorHAnsi" w:hAnsiTheme="majorHAnsi" w:cs="TTE1EED948t00"/>
        </w:rPr>
        <w:t xml:space="preserve">), </w:t>
      </w:r>
      <w:r w:rsidR="0071769B" w:rsidRPr="00D86047">
        <w:rPr>
          <w:rFonts w:asciiTheme="majorHAnsi" w:hAnsiTheme="majorHAnsi" w:cs="TTE1EED948t00"/>
        </w:rPr>
        <w:t xml:space="preserve">članka </w:t>
      </w:r>
      <w:r w:rsidR="000F747F">
        <w:rPr>
          <w:rFonts w:asciiTheme="majorHAnsi" w:hAnsiTheme="majorHAnsi" w:cs="TTE1EED948t00"/>
        </w:rPr>
        <w:t>31</w:t>
      </w:r>
      <w:r w:rsidR="0071769B" w:rsidRPr="00D86047">
        <w:rPr>
          <w:rFonts w:asciiTheme="majorHAnsi" w:hAnsiTheme="majorHAnsi"/>
          <w:bCs/>
        </w:rPr>
        <w:t xml:space="preserve">. </w:t>
      </w:r>
      <w:r w:rsidR="000F747F">
        <w:rPr>
          <w:rFonts w:asciiTheme="majorHAnsi" w:hAnsiTheme="majorHAnsi"/>
          <w:bCs/>
        </w:rPr>
        <w:t xml:space="preserve">st.1. </w:t>
      </w:r>
      <w:r w:rsidR="0071769B" w:rsidRPr="00D86047">
        <w:rPr>
          <w:rFonts w:asciiTheme="majorHAnsi" w:hAnsiTheme="majorHAnsi"/>
        </w:rPr>
        <w:t xml:space="preserve">Statuta Općine </w:t>
      </w:r>
      <w:r w:rsidR="00DF7760">
        <w:rPr>
          <w:rFonts w:asciiTheme="majorHAnsi" w:hAnsiTheme="majorHAnsi"/>
        </w:rPr>
        <w:t>Tovarnik</w:t>
      </w:r>
      <w:r w:rsidR="0071769B" w:rsidRPr="00D86047">
        <w:rPr>
          <w:rFonts w:asciiTheme="majorHAnsi" w:hAnsiTheme="majorHAnsi"/>
        </w:rPr>
        <w:t xml:space="preserve"> </w:t>
      </w:r>
      <w:r w:rsidR="00D86047" w:rsidRPr="00D86047">
        <w:rPr>
          <w:rFonts w:asciiTheme="majorHAnsi" w:hAnsiTheme="majorHAnsi" w:cs="Calibri"/>
        </w:rPr>
        <w:t xml:space="preserve">(''Službeni vjesnik'' </w:t>
      </w:r>
      <w:r w:rsidR="004E1C88">
        <w:rPr>
          <w:rFonts w:asciiTheme="majorHAnsi" w:hAnsiTheme="majorHAnsi" w:cs="Calibri"/>
        </w:rPr>
        <w:t>Vukovarsko- srijemske</w:t>
      </w:r>
      <w:r w:rsidR="00D86047" w:rsidRPr="00D86047">
        <w:rPr>
          <w:rFonts w:asciiTheme="majorHAnsi" w:hAnsiTheme="majorHAnsi" w:cs="Calibri"/>
        </w:rPr>
        <w:t xml:space="preserve"> županije br. </w:t>
      </w:r>
      <w:r w:rsidR="000F747F">
        <w:rPr>
          <w:rFonts w:asciiTheme="majorHAnsi" w:hAnsiTheme="majorHAnsi" w:cstheme="minorHAnsi"/>
        </w:rPr>
        <w:t xml:space="preserve">4/13 i 14/13 </w:t>
      </w:r>
      <w:r w:rsidR="00D86047" w:rsidRPr="00D86047">
        <w:rPr>
          <w:rFonts w:asciiTheme="majorHAnsi" w:hAnsiTheme="majorHAnsi"/>
        </w:rPr>
        <w:t xml:space="preserve">), </w:t>
      </w:r>
      <w:r w:rsidR="002A1E29" w:rsidRPr="00D86047">
        <w:rPr>
          <w:rFonts w:asciiTheme="majorHAnsi" w:hAnsiTheme="majorHAnsi" w:cstheme="minorHAnsi"/>
        </w:rPr>
        <w:t xml:space="preserve">Općinsko vijeće Općine </w:t>
      </w:r>
      <w:r w:rsidR="00DF7760">
        <w:rPr>
          <w:rFonts w:asciiTheme="majorHAnsi" w:hAnsiTheme="majorHAnsi" w:cstheme="minorHAnsi"/>
        </w:rPr>
        <w:t>Tovarnik</w:t>
      </w:r>
      <w:r w:rsidR="00DD0137" w:rsidRPr="00D86047">
        <w:rPr>
          <w:rFonts w:asciiTheme="majorHAnsi" w:hAnsiTheme="majorHAnsi" w:cstheme="minorHAnsi"/>
        </w:rPr>
        <w:t xml:space="preserve"> na svojoj </w:t>
      </w:r>
      <w:r w:rsidR="000F747F">
        <w:rPr>
          <w:rFonts w:asciiTheme="majorHAnsi" w:hAnsiTheme="majorHAnsi" w:cstheme="minorHAnsi"/>
        </w:rPr>
        <w:t xml:space="preserve">18. </w:t>
      </w:r>
      <w:r w:rsidR="00DD0137" w:rsidRPr="00D86047">
        <w:rPr>
          <w:rFonts w:asciiTheme="majorHAnsi" w:hAnsiTheme="majorHAnsi" w:cstheme="minorHAnsi"/>
        </w:rPr>
        <w:t xml:space="preserve">sjednici održanoj dana </w:t>
      </w:r>
      <w:r w:rsidR="000F747F">
        <w:rPr>
          <w:rFonts w:asciiTheme="majorHAnsi" w:hAnsiTheme="majorHAnsi"/>
          <w:bCs/>
        </w:rPr>
        <w:t xml:space="preserve"> 15. ožujka </w:t>
      </w:r>
      <w:r w:rsidR="00D86047" w:rsidRPr="00D86047">
        <w:rPr>
          <w:rFonts w:asciiTheme="majorHAnsi" w:hAnsiTheme="majorHAnsi"/>
          <w:bCs/>
        </w:rPr>
        <w:t>2016</w:t>
      </w:r>
      <w:r w:rsidR="0071769B" w:rsidRPr="00D86047">
        <w:rPr>
          <w:rFonts w:asciiTheme="majorHAnsi" w:hAnsiTheme="majorHAnsi" w:cstheme="minorHAnsi"/>
        </w:rPr>
        <w:t>.</w:t>
      </w:r>
      <w:r w:rsidR="002A1E29" w:rsidRPr="00D86047">
        <w:rPr>
          <w:rFonts w:asciiTheme="majorHAnsi" w:hAnsiTheme="majorHAnsi" w:cstheme="minorHAnsi"/>
        </w:rPr>
        <w:t xml:space="preserve"> godine, donijelo je</w:t>
      </w:r>
    </w:p>
    <w:p w:rsidR="00FE4437" w:rsidRPr="00DF7760" w:rsidRDefault="00FE4437" w:rsidP="00FE4437">
      <w:pPr>
        <w:spacing w:after="0" w:line="240" w:lineRule="auto"/>
        <w:jc w:val="both"/>
        <w:rPr>
          <w:rFonts w:asciiTheme="majorHAnsi" w:hAnsiTheme="majorHAnsi" w:cstheme="minorHAnsi"/>
          <w:sz w:val="32"/>
          <w:szCs w:val="32"/>
        </w:rPr>
      </w:pPr>
    </w:p>
    <w:p w:rsidR="00DF7760" w:rsidRPr="00DF7760" w:rsidRDefault="00FE4437" w:rsidP="00DF7760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DF7760">
        <w:rPr>
          <w:rFonts w:asciiTheme="majorHAnsi" w:hAnsiTheme="majorHAnsi" w:cstheme="minorHAnsi"/>
          <w:b/>
          <w:bCs/>
          <w:sz w:val="32"/>
          <w:szCs w:val="32"/>
        </w:rPr>
        <w:t>ODLUKU</w:t>
      </w:r>
      <w:r w:rsidRPr="00D86047">
        <w:rPr>
          <w:rFonts w:asciiTheme="majorHAnsi" w:hAnsiTheme="majorHAnsi" w:cstheme="minorHAnsi"/>
          <w:b/>
          <w:bCs/>
        </w:rPr>
        <w:br/>
      </w:r>
      <w:r w:rsidRPr="00DF7760">
        <w:rPr>
          <w:rFonts w:asciiTheme="majorHAnsi" w:hAnsiTheme="majorHAnsi" w:cstheme="minorHAnsi"/>
          <w:b/>
          <w:bCs/>
          <w:sz w:val="24"/>
          <w:szCs w:val="24"/>
        </w:rPr>
        <w:t xml:space="preserve">o </w:t>
      </w:r>
      <w:r w:rsidR="00043C33" w:rsidRPr="00DF7760">
        <w:rPr>
          <w:rFonts w:asciiTheme="majorHAnsi" w:hAnsiTheme="majorHAnsi" w:cstheme="minorHAnsi"/>
          <w:b/>
          <w:bCs/>
          <w:sz w:val="24"/>
          <w:szCs w:val="24"/>
        </w:rPr>
        <w:t>davanju</w:t>
      </w:r>
      <w:r w:rsidRPr="00DF7760">
        <w:rPr>
          <w:rFonts w:asciiTheme="majorHAnsi" w:hAnsiTheme="majorHAnsi" w:cstheme="minorHAnsi"/>
          <w:b/>
          <w:bCs/>
          <w:sz w:val="24"/>
          <w:szCs w:val="24"/>
        </w:rPr>
        <w:t xml:space="preserve"> koncesije za </w:t>
      </w:r>
      <w:r w:rsidR="00DF7760" w:rsidRPr="00DF7760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obavljanje javne usluge prikupljanja, odvoza i zbrinjavanja miješanog komunalnog otpada, biorazgradivog komunalnog otpada i odvojeno skupljenih frakcija komunalnog otpada s područja Općine Tovarnik</w:t>
      </w:r>
      <w:r w:rsidR="00DF7760" w:rsidRPr="00DF7760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:rsidR="00FE4437" w:rsidRPr="00D86047" w:rsidRDefault="002A1E29" w:rsidP="00DF7760">
      <w:pPr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  <w:r w:rsidRPr="00DF7760">
        <w:rPr>
          <w:rFonts w:asciiTheme="majorHAnsi" w:hAnsiTheme="majorHAnsi" w:cstheme="minorHAnsi"/>
          <w:b/>
          <w:bCs/>
          <w:sz w:val="24"/>
          <w:szCs w:val="24"/>
        </w:rPr>
        <w:t>evidencijski broj: K01</w:t>
      </w:r>
      <w:r w:rsidR="00EF0AB2" w:rsidRPr="00DF7760">
        <w:rPr>
          <w:rFonts w:asciiTheme="majorHAnsi" w:hAnsiTheme="majorHAnsi" w:cstheme="minorHAnsi"/>
          <w:b/>
          <w:bCs/>
          <w:sz w:val="24"/>
          <w:szCs w:val="24"/>
        </w:rPr>
        <w:t>/</w:t>
      </w:r>
      <w:r w:rsidR="00DF7760" w:rsidRPr="00DF7760">
        <w:rPr>
          <w:rFonts w:asciiTheme="majorHAnsi" w:hAnsiTheme="majorHAnsi" w:cstheme="minorHAnsi"/>
          <w:b/>
          <w:bCs/>
          <w:sz w:val="24"/>
          <w:szCs w:val="24"/>
        </w:rPr>
        <w:t>2016</w:t>
      </w:r>
      <w:r w:rsidR="0071769B" w:rsidRPr="00DF7760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FE4437" w:rsidRPr="00D86047">
        <w:rPr>
          <w:rFonts w:asciiTheme="majorHAnsi" w:hAnsiTheme="majorHAnsi" w:cstheme="minorHAnsi"/>
          <w:b/>
          <w:bCs/>
        </w:rPr>
        <w:br/>
      </w:r>
    </w:p>
    <w:p w:rsidR="00043C33" w:rsidRPr="00D86047" w:rsidRDefault="00043C33" w:rsidP="00EF0AB2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D86047">
        <w:rPr>
          <w:rFonts w:asciiTheme="majorHAnsi" w:hAnsiTheme="majorHAnsi" w:cs="Arial"/>
          <w:b/>
        </w:rPr>
        <w:t>I</w:t>
      </w:r>
    </w:p>
    <w:p w:rsidR="00043C33" w:rsidRPr="00D86047" w:rsidRDefault="00043C33" w:rsidP="002F4D43">
      <w:pPr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  <w:b/>
        </w:rPr>
        <w:t>Podaci o Davatelju koncesije:</w:t>
      </w:r>
      <w:r w:rsidRPr="00D86047">
        <w:rPr>
          <w:rFonts w:asciiTheme="majorHAnsi" w:hAnsiTheme="majorHAnsi" w:cs="Arial"/>
        </w:rPr>
        <w:t xml:space="preserve">  </w:t>
      </w:r>
    </w:p>
    <w:p w:rsidR="00DF7760" w:rsidRPr="00DF7760" w:rsidRDefault="00DF7760" w:rsidP="00DF7760">
      <w:pPr>
        <w:spacing w:after="0" w:line="240" w:lineRule="auto"/>
        <w:jc w:val="both"/>
        <w:rPr>
          <w:rFonts w:asciiTheme="majorHAnsi" w:hAnsiTheme="majorHAnsi" w:cs="Arial"/>
        </w:rPr>
      </w:pPr>
      <w:r w:rsidRPr="00DF7760">
        <w:rPr>
          <w:rFonts w:asciiTheme="majorHAnsi" w:hAnsiTheme="majorHAnsi" w:cs="Arial"/>
        </w:rPr>
        <w:t xml:space="preserve">OPĆINA TOVARNIK, </w:t>
      </w:r>
      <w:r w:rsidRPr="00DF7760">
        <w:rPr>
          <w:rFonts w:asciiTheme="majorHAnsi" w:hAnsiTheme="majorHAnsi"/>
        </w:rPr>
        <w:t>32 249 Tovarnik, A.G. Matoša 2</w:t>
      </w:r>
      <w:r w:rsidRPr="00DF7760">
        <w:rPr>
          <w:rFonts w:asciiTheme="majorHAnsi" w:hAnsiTheme="majorHAnsi" w:cs="Arial"/>
        </w:rPr>
        <w:t xml:space="preserve">; OIB: </w:t>
      </w:r>
      <w:r w:rsidRPr="00DF7760">
        <w:rPr>
          <w:rFonts w:asciiTheme="majorHAnsi" w:hAnsiTheme="majorHAnsi" w:cs="Segoe Print"/>
        </w:rPr>
        <w:t>38906942564</w:t>
      </w:r>
    </w:p>
    <w:p w:rsidR="00DF7760" w:rsidRPr="00DF7760" w:rsidRDefault="00DF7760" w:rsidP="00DF7760">
      <w:pPr>
        <w:spacing w:after="0" w:line="240" w:lineRule="auto"/>
        <w:jc w:val="both"/>
        <w:rPr>
          <w:rFonts w:asciiTheme="majorHAnsi" w:hAnsiTheme="majorHAnsi" w:cs="Arial"/>
        </w:rPr>
      </w:pPr>
      <w:r w:rsidRPr="00DF7760">
        <w:rPr>
          <w:rFonts w:asciiTheme="majorHAnsi" w:hAnsiTheme="majorHAnsi" w:cs="Arial"/>
        </w:rPr>
        <w:t>Odgovorna osoba naručitelja: Ruža Veselčić Šijaković, općinska načelnica</w:t>
      </w:r>
    </w:p>
    <w:p w:rsidR="00043C33" w:rsidRPr="00DF7760" w:rsidRDefault="00043C33" w:rsidP="00DF7760">
      <w:pPr>
        <w:spacing w:after="0" w:line="240" w:lineRule="auto"/>
        <w:jc w:val="both"/>
        <w:rPr>
          <w:rFonts w:asciiTheme="majorHAnsi" w:hAnsiTheme="majorHAnsi" w:cs="Arial"/>
        </w:rPr>
      </w:pPr>
    </w:p>
    <w:p w:rsidR="00FE4437" w:rsidRPr="00DF7760" w:rsidRDefault="00043C33" w:rsidP="00DF7760">
      <w:pPr>
        <w:spacing w:after="0" w:line="240" w:lineRule="auto"/>
        <w:jc w:val="both"/>
        <w:rPr>
          <w:rFonts w:asciiTheme="majorHAnsi" w:hAnsiTheme="majorHAnsi" w:cs="Arial"/>
        </w:rPr>
      </w:pPr>
      <w:r w:rsidRPr="00DF7760">
        <w:rPr>
          <w:rFonts w:asciiTheme="majorHAnsi" w:hAnsiTheme="majorHAnsi" w:cs="Arial"/>
        </w:rPr>
        <w:t>Na temelju provedenog postupka davanja koncesije</w:t>
      </w:r>
      <w:r w:rsidRPr="00DF7760">
        <w:rPr>
          <w:rFonts w:asciiTheme="majorHAnsi" w:hAnsiTheme="majorHAnsi" w:cstheme="minorHAnsi"/>
          <w:bCs/>
        </w:rPr>
        <w:t xml:space="preserve"> za o</w:t>
      </w:r>
      <w:r w:rsidR="00DF7760" w:rsidRPr="00DF7760">
        <w:rPr>
          <w:rStyle w:val="Hyperlink"/>
          <w:rFonts w:asciiTheme="majorHAnsi" w:hAnsiTheme="majorHAnsi"/>
          <w:color w:val="auto"/>
          <w:u w:val="none"/>
        </w:rPr>
        <w:t>bavljanje javne usluge prikupljanja, odvoza i zbrinjavanja miješanog komunalnog otpada, biorazgradivog komunalnog otpada i odvojeno skupljenih frakcija komunalnog otpada s područja Općine Tovarnik</w:t>
      </w:r>
      <w:r w:rsidRPr="00DF7760">
        <w:rPr>
          <w:rFonts w:asciiTheme="majorHAnsi" w:hAnsiTheme="majorHAnsi" w:cs="Arial"/>
        </w:rPr>
        <w:t xml:space="preserve"> i prijedloga Stru</w:t>
      </w:r>
      <w:r w:rsidRPr="00DF7760">
        <w:rPr>
          <w:rFonts w:asciiTheme="majorHAnsi" w:hAnsiTheme="majorHAnsi" w:cs="Times New Roman"/>
        </w:rPr>
        <w:t>č</w:t>
      </w:r>
      <w:r w:rsidRPr="00DF7760">
        <w:rPr>
          <w:rFonts w:asciiTheme="majorHAnsi" w:hAnsiTheme="majorHAnsi" w:cs="Arial"/>
        </w:rPr>
        <w:t>nog povjerenstva za</w:t>
      </w:r>
      <w:r w:rsidRPr="00DF7760">
        <w:rPr>
          <w:rFonts w:asciiTheme="majorHAnsi" w:hAnsiTheme="majorHAnsi" w:cstheme="minorHAnsi"/>
          <w:bCs/>
        </w:rPr>
        <w:t xml:space="preserve"> </w:t>
      </w:r>
      <w:r w:rsidRPr="00DF7760">
        <w:rPr>
          <w:rFonts w:asciiTheme="majorHAnsi" w:hAnsiTheme="majorHAnsi" w:cs="Arial"/>
        </w:rPr>
        <w:t>koncesije, kao najpovoljniji ponuditelj odabire se:</w:t>
      </w:r>
    </w:p>
    <w:p w:rsidR="00043C33" w:rsidRPr="00D86047" w:rsidRDefault="00043C33" w:rsidP="00043C33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leContemporary"/>
        <w:tblpPr w:leftFromText="180" w:rightFromText="180" w:vertAnchor="text" w:horzAnchor="page" w:tblpX="2030" w:tblpY="98"/>
        <w:tblW w:w="0" w:type="auto"/>
        <w:tblLook w:val="01E0" w:firstRow="1" w:lastRow="1" w:firstColumn="1" w:lastColumn="1" w:noHBand="0" w:noVBand="0"/>
      </w:tblPr>
      <w:tblGrid>
        <w:gridCol w:w="1202"/>
        <w:gridCol w:w="4320"/>
      </w:tblGrid>
      <w:tr w:rsidR="00043C33" w:rsidRPr="00D86047" w:rsidTr="00780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2" w:type="dxa"/>
          </w:tcPr>
          <w:p w:rsidR="00043C33" w:rsidRPr="00D86047" w:rsidRDefault="00043C33" w:rsidP="007802A8">
            <w:pPr>
              <w:spacing w:after="0" w:line="240" w:lineRule="auto"/>
              <w:jc w:val="both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D8604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4320" w:type="dxa"/>
          </w:tcPr>
          <w:p w:rsidR="002F4D43" w:rsidRPr="004E1C88" w:rsidRDefault="00DF7760" w:rsidP="004E1C88">
            <w:pPr>
              <w:spacing w:after="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STRUNJE- TRADE d.o.o.</w:t>
            </w:r>
          </w:p>
        </w:tc>
      </w:tr>
      <w:tr w:rsidR="00043C33" w:rsidRPr="00D86047" w:rsidTr="0078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2" w:type="dxa"/>
          </w:tcPr>
          <w:p w:rsidR="00043C33" w:rsidRPr="00D86047" w:rsidRDefault="00043C33" w:rsidP="007802A8">
            <w:pPr>
              <w:spacing w:after="0" w:line="240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D86047">
              <w:rPr>
                <w:rFonts w:asciiTheme="majorHAnsi" w:eastAsia="Calibri" w:hAnsiTheme="majorHAnsi"/>
                <w:b/>
                <w:sz w:val="22"/>
                <w:szCs w:val="22"/>
              </w:rPr>
              <w:t>sjedište</w:t>
            </w:r>
          </w:p>
        </w:tc>
        <w:tc>
          <w:tcPr>
            <w:tcW w:w="4320" w:type="dxa"/>
          </w:tcPr>
          <w:p w:rsidR="00DF7760" w:rsidRPr="00E529AA" w:rsidRDefault="00DF7760" w:rsidP="00DF7760">
            <w:pPr>
              <w:pStyle w:val="NoSpacing1"/>
              <w:rPr>
                <w:rFonts w:asciiTheme="majorHAnsi" w:hAnsiTheme="majorHAnsi" w:cs="Open Sans"/>
                <w:spacing w:val="-3"/>
                <w:sz w:val="22"/>
                <w:szCs w:val="22"/>
              </w:rPr>
            </w:pPr>
            <w:r w:rsidRPr="00E529AA">
              <w:rPr>
                <w:rFonts w:asciiTheme="majorHAnsi" w:hAnsiTheme="majorHAnsi" w:cs="Open Sans"/>
                <w:spacing w:val="-3"/>
                <w:sz w:val="22"/>
                <w:szCs w:val="22"/>
              </w:rPr>
              <w:t>Bana Josipa Jelačića 11</w:t>
            </w:r>
          </w:p>
          <w:p w:rsidR="00043C33" w:rsidRPr="00DF7760" w:rsidRDefault="00DF7760" w:rsidP="00DF7760">
            <w:pPr>
              <w:pStyle w:val="NoSpacing1"/>
              <w:rPr>
                <w:rFonts w:asciiTheme="majorHAnsi" w:hAnsiTheme="majorHAnsi" w:cs="Open Sans"/>
                <w:spacing w:val="-3"/>
                <w:sz w:val="22"/>
                <w:szCs w:val="22"/>
              </w:rPr>
            </w:pPr>
            <w:r w:rsidRPr="00E529AA">
              <w:rPr>
                <w:rFonts w:asciiTheme="majorHAnsi" w:hAnsiTheme="majorHAnsi" w:cs="Open Sans"/>
                <w:spacing w:val="-3"/>
                <w:sz w:val="22"/>
                <w:szCs w:val="22"/>
              </w:rPr>
              <w:t>32251 Privlaka</w:t>
            </w:r>
          </w:p>
        </w:tc>
      </w:tr>
      <w:tr w:rsidR="00043C33" w:rsidRPr="00D86047" w:rsidTr="00780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2" w:type="dxa"/>
          </w:tcPr>
          <w:p w:rsidR="00043C33" w:rsidRPr="00D86047" w:rsidRDefault="00043C33" w:rsidP="007802A8">
            <w:pPr>
              <w:spacing w:after="0" w:line="240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D86047">
              <w:rPr>
                <w:rFonts w:asciiTheme="majorHAnsi" w:eastAsia="Calibri" w:hAnsiTheme="majorHAnsi"/>
                <w:b/>
                <w:sz w:val="22"/>
                <w:szCs w:val="22"/>
              </w:rPr>
              <w:t>OIB</w:t>
            </w:r>
          </w:p>
        </w:tc>
        <w:tc>
          <w:tcPr>
            <w:tcW w:w="4320" w:type="dxa"/>
          </w:tcPr>
          <w:p w:rsidR="00043C33" w:rsidRPr="004E1C88" w:rsidRDefault="00DF7760" w:rsidP="004E1C88">
            <w:pPr>
              <w:spacing w:after="0" w:line="240" w:lineRule="auto"/>
              <w:rPr>
                <w:rFonts w:asciiTheme="majorHAnsi" w:eastAsia="Calibri" w:hAnsiTheme="majorHAnsi"/>
                <w:sz w:val="22"/>
                <w:szCs w:val="22"/>
              </w:rPr>
            </w:pPr>
            <w:r w:rsidRPr="00E529AA">
              <w:rPr>
                <w:rStyle w:val="st"/>
                <w:rFonts w:asciiTheme="majorHAnsi" w:hAnsiTheme="majorHAnsi"/>
                <w:sz w:val="22"/>
                <w:szCs w:val="22"/>
              </w:rPr>
              <w:t>97670986612</w:t>
            </w:r>
          </w:p>
        </w:tc>
      </w:tr>
    </w:tbl>
    <w:p w:rsidR="00043C33" w:rsidRPr="00D86047" w:rsidRDefault="00043C33" w:rsidP="00043C33">
      <w:pPr>
        <w:spacing w:after="0" w:line="240" w:lineRule="auto"/>
        <w:jc w:val="both"/>
        <w:rPr>
          <w:rFonts w:asciiTheme="majorHAnsi" w:hAnsiTheme="majorHAnsi" w:cs="Arial"/>
        </w:rPr>
      </w:pPr>
    </w:p>
    <w:p w:rsidR="00043C33" w:rsidRPr="00D86047" w:rsidRDefault="00043C33" w:rsidP="00043C33">
      <w:pPr>
        <w:spacing w:after="0" w:line="240" w:lineRule="auto"/>
        <w:jc w:val="both"/>
        <w:rPr>
          <w:rFonts w:asciiTheme="majorHAnsi" w:hAnsiTheme="majorHAnsi" w:cstheme="minorHAnsi"/>
          <w:bCs/>
        </w:rPr>
      </w:pPr>
    </w:p>
    <w:p w:rsidR="00043C33" w:rsidRPr="00D86047" w:rsidRDefault="00043C33" w:rsidP="00FE4437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043C33" w:rsidRPr="00D86047" w:rsidRDefault="00043C33" w:rsidP="00FE4437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043C33" w:rsidRPr="00D86047" w:rsidRDefault="00043C33" w:rsidP="00FE4437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D86047" w:rsidRDefault="00D86047" w:rsidP="00DF7760">
      <w:pPr>
        <w:spacing w:after="0" w:line="240" w:lineRule="auto"/>
        <w:rPr>
          <w:rFonts w:asciiTheme="majorHAnsi" w:hAnsiTheme="majorHAnsi" w:cstheme="minorHAnsi"/>
          <w:b/>
        </w:rPr>
      </w:pPr>
    </w:p>
    <w:p w:rsidR="006C409D" w:rsidRPr="00D86047" w:rsidRDefault="00EF0AB2" w:rsidP="00EF0AB2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D86047">
        <w:rPr>
          <w:rFonts w:asciiTheme="majorHAnsi" w:hAnsiTheme="majorHAnsi" w:cstheme="minorHAnsi"/>
          <w:b/>
        </w:rPr>
        <w:t>II</w:t>
      </w:r>
    </w:p>
    <w:p w:rsidR="00EF0AB2" w:rsidRPr="00D86047" w:rsidRDefault="00EF0AB2" w:rsidP="00EF0AB2">
      <w:pPr>
        <w:spacing w:after="0" w:line="240" w:lineRule="auto"/>
        <w:jc w:val="both"/>
        <w:rPr>
          <w:rFonts w:asciiTheme="majorHAnsi" w:hAnsiTheme="majorHAnsi" w:cstheme="minorHAnsi"/>
        </w:rPr>
      </w:pPr>
      <w:r w:rsidRPr="00D86047">
        <w:rPr>
          <w:rFonts w:asciiTheme="majorHAnsi" w:hAnsiTheme="majorHAnsi" w:cstheme="minorHAnsi"/>
        </w:rPr>
        <w:t>Vrsta i predmet koncesije je koncesija za javne usluge</w:t>
      </w:r>
      <w:r w:rsidR="000537AD" w:rsidRPr="00D86047">
        <w:rPr>
          <w:rFonts w:asciiTheme="majorHAnsi" w:hAnsiTheme="majorHAnsi" w:cstheme="minorHAnsi"/>
        </w:rPr>
        <w:t xml:space="preserve"> </w:t>
      </w:r>
      <w:r w:rsidR="000537AD" w:rsidRPr="00D86047">
        <w:rPr>
          <w:rFonts w:asciiTheme="majorHAnsi" w:hAnsiTheme="majorHAnsi" w:cstheme="minorHAnsi"/>
          <w:bCs/>
        </w:rPr>
        <w:t xml:space="preserve">za </w:t>
      </w:r>
      <w:r w:rsidR="00DF7760" w:rsidRPr="00DF7760">
        <w:rPr>
          <w:rFonts w:asciiTheme="majorHAnsi" w:hAnsiTheme="majorHAnsi" w:cstheme="minorHAnsi"/>
          <w:bCs/>
        </w:rPr>
        <w:t>o</w:t>
      </w:r>
      <w:r w:rsidR="00DF7760" w:rsidRPr="00DF7760">
        <w:rPr>
          <w:rStyle w:val="Hyperlink"/>
          <w:rFonts w:asciiTheme="majorHAnsi" w:hAnsiTheme="majorHAnsi"/>
          <w:color w:val="auto"/>
          <w:u w:val="none"/>
        </w:rPr>
        <w:t>bavljanje javne usluge prikupljanja, odvoza i zbrinjavanja miješanog komunalnog otpada, biorazgradivog komunalnog otpada i odvojeno skupljenih frakcija komunalnog otpada s područja Općine Tovarnik</w:t>
      </w:r>
      <w:r w:rsidRPr="00D86047">
        <w:rPr>
          <w:rFonts w:asciiTheme="majorHAnsi" w:hAnsiTheme="majorHAnsi" w:cstheme="minorHAnsi"/>
        </w:rPr>
        <w:t>.</w:t>
      </w:r>
    </w:p>
    <w:p w:rsidR="00EF0AB2" w:rsidRPr="00D86047" w:rsidRDefault="00EF0AB2" w:rsidP="00EF0AB2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F0AB2" w:rsidRPr="00D86047" w:rsidRDefault="00EF0AB2" w:rsidP="00EF0AB2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D86047">
        <w:rPr>
          <w:rFonts w:asciiTheme="majorHAnsi" w:hAnsiTheme="majorHAnsi" w:cstheme="minorHAnsi"/>
          <w:b/>
        </w:rPr>
        <w:t>III</w:t>
      </w:r>
    </w:p>
    <w:p w:rsidR="00EF0AB2" w:rsidRPr="00D86047" w:rsidRDefault="00EF0AB2" w:rsidP="00EF0A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>Priroda i opseg te mjesto, odnosno područje obavljanja djelatnosti koncesije utvr</w:t>
      </w:r>
      <w:r w:rsidRPr="00D86047">
        <w:rPr>
          <w:rFonts w:asciiTheme="majorHAnsi" w:hAnsiTheme="majorHAnsi" w:cs="Times New Roman"/>
        </w:rPr>
        <w:t>đ</w:t>
      </w:r>
      <w:r w:rsidRPr="00D86047">
        <w:rPr>
          <w:rFonts w:asciiTheme="majorHAnsi" w:hAnsiTheme="majorHAnsi" w:cs="Arial"/>
        </w:rPr>
        <w:t>uje se kako slijedi:</w:t>
      </w:r>
    </w:p>
    <w:p w:rsidR="001A38A4" w:rsidRPr="00DF7760" w:rsidRDefault="001A38A4" w:rsidP="00DF776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Arial"/>
        </w:rPr>
      </w:pPr>
      <w:r w:rsidRPr="00DF7760">
        <w:rPr>
          <w:rFonts w:asciiTheme="majorHAnsi" w:hAnsiTheme="majorHAnsi" w:cs="Arial"/>
        </w:rPr>
        <w:t xml:space="preserve">područje obavljanja djelatnosti koncesije: Općina </w:t>
      </w:r>
      <w:r w:rsidR="00DF7760" w:rsidRPr="00DF7760">
        <w:rPr>
          <w:rFonts w:asciiTheme="majorHAnsi" w:hAnsiTheme="majorHAnsi" w:cs="Arial"/>
        </w:rPr>
        <w:t>Tovarnik</w:t>
      </w:r>
      <w:r w:rsidRPr="00DF7760">
        <w:rPr>
          <w:rFonts w:asciiTheme="majorHAnsi" w:hAnsiTheme="majorHAnsi" w:cs="Arial"/>
        </w:rPr>
        <w:t>,</w:t>
      </w:r>
    </w:p>
    <w:p w:rsidR="00DF7760" w:rsidRPr="00DF7760" w:rsidRDefault="00DF7760" w:rsidP="00DF776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Style w:val="Hyperlink"/>
          <w:rFonts w:asciiTheme="majorHAnsi" w:hAnsiTheme="majorHAnsi"/>
          <w:color w:val="auto"/>
          <w:sz w:val="22"/>
          <w:u w:val="none"/>
        </w:rPr>
      </w:pPr>
      <w:r w:rsidRPr="00DF7760">
        <w:rPr>
          <w:rStyle w:val="Hyperlink"/>
          <w:rFonts w:asciiTheme="majorHAnsi" w:hAnsiTheme="majorHAnsi"/>
          <w:color w:val="auto"/>
          <w:sz w:val="22"/>
          <w:u w:val="none"/>
        </w:rPr>
        <w:t>pod javnom uslugom prikupljanja MKO (miješanog komunalnog otpada), prikupljanja BKO (biorazgradivog komunalnog otpada) i OSF (odvojeno skupljenih frakcija) komunalnog otpada podrazumijeva se prikupljanje tog otpada na području Općine Tovarnik putem spremnika od pojedinih korisnika</w:t>
      </w:r>
      <w:r w:rsidR="00B47DF3">
        <w:rPr>
          <w:rStyle w:val="Hyperlink"/>
          <w:rFonts w:asciiTheme="majorHAnsi" w:hAnsiTheme="majorHAnsi"/>
          <w:color w:val="auto"/>
          <w:sz w:val="22"/>
          <w:u w:val="none"/>
        </w:rPr>
        <w:t>,</w:t>
      </w:r>
      <w:r w:rsidRPr="00DF7760">
        <w:rPr>
          <w:rStyle w:val="Hyperlink"/>
          <w:rFonts w:asciiTheme="majorHAnsi" w:hAnsiTheme="majorHAnsi"/>
          <w:color w:val="auto"/>
          <w:sz w:val="22"/>
          <w:u w:val="none"/>
        </w:rPr>
        <w:t xml:space="preserve"> te prijevoz tog otpada do ovlaštene osobe za obradu tog otpada. MKO je otpad iz kućanstva i otpad iz trgovina, industrije i iz </w:t>
      </w:r>
      <w:r w:rsidRPr="00DF7760">
        <w:rPr>
          <w:rStyle w:val="Hyperlink"/>
          <w:rFonts w:asciiTheme="majorHAnsi" w:hAnsiTheme="majorHAnsi"/>
          <w:color w:val="auto"/>
          <w:sz w:val="22"/>
          <w:u w:val="none"/>
        </w:rPr>
        <w:lastRenderedPageBreak/>
        <w:t>ustanova koji je po svojstvima i sastavu sličan otpadu iz kućanstava, iz kojeg posebnim postupkom nisu izdvojeni pojedini materijali (kao što je papir, staklo i dr.) te je u Katalogu otpada označen kao KBO 20 03 01 – miješani komunalni otpad.</w:t>
      </w:r>
    </w:p>
    <w:p w:rsidR="00DF7760" w:rsidRPr="00DF7760" w:rsidRDefault="00DF7760" w:rsidP="00DF776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Style w:val="Hyperlink"/>
          <w:rFonts w:asciiTheme="majorHAnsi" w:hAnsiTheme="majorHAnsi"/>
          <w:color w:val="auto"/>
          <w:sz w:val="22"/>
          <w:u w:val="none"/>
        </w:rPr>
      </w:pPr>
      <w:r w:rsidRPr="00DF7760">
        <w:rPr>
          <w:rStyle w:val="Hyperlink"/>
          <w:rFonts w:asciiTheme="majorHAnsi" w:hAnsiTheme="majorHAnsi"/>
          <w:color w:val="auto"/>
          <w:sz w:val="22"/>
          <w:u w:val="none"/>
        </w:rPr>
        <w:t>BKO je otpad nastao u kućanstvu i otpad koji je po prirodi i sastavu sličan otpadu iz kućanstva, osim proizvodnog otpada i otpada iz poljoprivrede, šumarstva, a koji u svom sastavu sadrži biološki razgradiv otpad te je u Katalogu otpada označen kao KBO 20 02 01-biorazgradivi otpad.</w:t>
      </w:r>
    </w:p>
    <w:p w:rsidR="00DF7760" w:rsidRPr="00DF7760" w:rsidRDefault="00DF7760" w:rsidP="00DF776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F7760">
        <w:rPr>
          <w:rStyle w:val="Hyperlink"/>
          <w:rFonts w:asciiTheme="majorHAnsi" w:hAnsiTheme="majorHAnsi"/>
          <w:color w:val="auto"/>
          <w:sz w:val="22"/>
          <w:u w:val="none"/>
        </w:rPr>
        <w:t xml:space="preserve">OSF komunalnog otpada su frakcije otpada čija se vrijedna svojstva mogu iskoristiti, u Katalogu otpada označene kao </w:t>
      </w:r>
      <w:r w:rsidRPr="00DF7760">
        <w:rPr>
          <w:rFonts w:asciiTheme="majorHAnsi" w:hAnsiTheme="majorHAnsi"/>
        </w:rPr>
        <w:t>KBO 15 01 01 - ambalaža od papira i kartona, KBO 15 01 02 - ambalaža od plastike, KBO 15 01 03 - ambalaža od drveta, KBO 15 01 04 - ambalaža od metala, KBO 15 01 05 - višeslojna (kompozitna) ambalaža, KBO 15 01 07 - staklena ambalaža, KBO 15 01 09 - tekstilna ambalaža, KBO 20 01 10 - odjeća i KBO 20 01 11 – tekstil.</w:t>
      </w:r>
    </w:p>
    <w:p w:rsidR="00DF7760" w:rsidRPr="00DF7760" w:rsidRDefault="00B47DF3" w:rsidP="00DF7760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Style w:val="Hyperlink"/>
          <w:rFonts w:asciiTheme="majorHAnsi" w:hAnsiTheme="majorHAnsi"/>
          <w:color w:val="auto"/>
          <w:sz w:val="22"/>
          <w:u w:val="none"/>
        </w:rPr>
        <w:t>Obračunska jedinica:</w:t>
      </w:r>
      <w:r w:rsidR="00DF7760" w:rsidRPr="00DF7760">
        <w:rPr>
          <w:rStyle w:val="Hyperlink"/>
          <w:rFonts w:asciiTheme="majorHAnsi" w:hAnsiTheme="majorHAnsi"/>
          <w:color w:val="auto"/>
          <w:sz w:val="22"/>
          <w:u w:val="none"/>
        </w:rPr>
        <w:t xml:space="preserve"> Mjesec dana.</w:t>
      </w:r>
    </w:p>
    <w:p w:rsidR="001A38A4" w:rsidRPr="00D86047" w:rsidRDefault="001A38A4" w:rsidP="001A38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1A38A4" w:rsidRPr="00D86047" w:rsidRDefault="001A38A4" w:rsidP="000537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  <w:r w:rsidRPr="00D86047">
        <w:rPr>
          <w:rFonts w:asciiTheme="majorHAnsi" w:hAnsiTheme="majorHAnsi" w:cs="Arial"/>
          <w:b/>
        </w:rPr>
        <w:t>IV</w:t>
      </w:r>
    </w:p>
    <w:p w:rsidR="001A38A4" w:rsidRPr="00A30853" w:rsidRDefault="00DF7760" w:rsidP="001A38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30853">
        <w:rPr>
          <w:rFonts w:asciiTheme="majorHAnsi" w:hAnsiTheme="majorHAnsi" w:cs="Arial"/>
        </w:rPr>
        <w:t>Rok na koji se daje koncesija: 5</w:t>
      </w:r>
      <w:r w:rsidR="001A38A4" w:rsidRPr="00A30853">
        <w:rPr>
          <w:rFonts w:asciiTheme="majorHAnsi" w:hAnsiTheme="majorHAnsi" w:cs="Arial"/>
        </w:rPr>
        <w:t xml:space="preserve"> godina</w:t>
      </w:r>
      <w:r w:rsidR="00A30853" w:rsidRPr="00A30853">
        <w:rPr>
          <w:rFonts w:asciiTheme="majorHAnsi" w:hAnsiTheme="majorHAnsi" w:cs="Arial"/>
        </w:rPr>
        <w:t>,</w:t>
      </w:r>
      <w:r w:rsidR="001A38A4" w:rsidRPr="00A30853">
        <w:rPr>
          <w:rFonts w:asciiTheme="majorHAnsi" w:hAnsiTheme="majorHAnsi" w:cs="Arial"/>
        </w:rPr>
        <w:t xml:space="preserve"> sukladno </w:t>
      </w:r>
      <w:r w:rsidR="005E24FE" w:rsidRPr="00A30853">
        <w:rPr>
          <w:rFonts w:asciiTheme="majorHAnsi" w:hAnsiTheme="majorHAnsi" w:cstheme="minorHAnsi"/>
        </w:rPr>
        <w:t xml:space="preserve">Odluci o </w:t>
      </w:r>
      <w:r w:rsidR="00A30853" w:rsidRPr="00A30853">
        <w:rPr>
          <w:rFonts w:asciiTheme="majorHAnsi" w:hAnsiTheme="majorHAnsi" w:cstheme="minorHAnsi"/>
        </w:rPr>
        <w:t>komunalnim djelatnostima</w:t>
      </w:r>
      <w:r w:rsidR="005E24FE" w:rsidRPr="00A30853">
        <w:rPr>
          <w:rFonts w:asciiTheme="majorHAnsi" w:hAnsiTheme="majorHAnsi" w:cstheme="minorHAnsi"/>
        </w:rPr>
        <w:t xml:space="preserve"> (''Službeni vjesnik'' </w:t>
      </w:r>
      <w:r w:rsidR="004E1C88" w:rsidRPr="00A30853">
        <w:rPr>
          <w:rFonts w:asciiTheme="majorHAnsi" w:hAnsiTheme="majorHAnsi" w:cstheme="minorHAnsi"/>
        </w:rPr>
        <w:t>Vukovarsko- srijemske</w:t>
      </w:r>
      <w:r w:rsidR="00A30853">
        <w:rPr>
          <w:rFonts w:asciiTheme="majorHAnsi" w:hAnsiTheme="majorHAnsi" w:cstheme="minorHAnsi"/>
        </w:rPr>
        <w:t xml:space="preserve"> županije broj 19/14 </w:t>
      </w:r>
      <w:r w:rsidR="005E24FE" w:rsidRPr="00A30853">
        <w:rPr>
          <w:rFonts w:asciiTheme="majorHAnsi" w:hAnsiTheme="majorHAnsi" w:cstheme="minorHAnsi"/>
        </w:rPr>
        <w:t>).</w:t>
      </w:r>
    </w:p>
    <w:p w:rsidR="000537AD" w:rsidRPr="00D86047" w:rsidRDefault="000537AD" w:rsidP="001A38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537AD" w:rsidRPr="00D86047" w:rsidRDefault="000537AD" w:rsidP="000537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  <w:r w:rsidRPr="00D86047">
        <w:rPr>
          <w:rFonts w:asciiTheme="majorHAnsi" w:hAnsiTheme="majorHAnsi" w:cs="Arial"/>
          <w:b/>
        </w:rPr>
        <w:t>V</w:t>
      </w:r>
    </w:p>
    <w:p w:rsidR="000537AD" w:rsidRPr="00D86047" w:rsidRDefault="000537AD" w:rsidP="000537AD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D86047">
        <w:rPr>
          <w:rFonts w:asciiTheme="majorHAnsi" w:hAnsiTheme="majorHAnsi" w:cs="Arial"/>
          <w:bCs/>
        </w:rPr>
        <w:t>Obveze davatelja koncesije:</w:t>
      </w:r>
    </w:p>
    <w:p w:rsidR="00A0046E" w:rsidRPr="00D86047" w:rsidRDefault="00A0046E" w:rsidP="00A004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D86047">
        <w:rPr>
          <w:rFonts w:asciiTheme="majorHAnsi" w:hAnsiTheme="majorHAnsi" w:cs="Arial"/>
        </w:rPr>
        <w:t xml:space="preserve">da vrši  nadzor nad obavljanjem koncesije, </w:t>
      </w:r>
    </w:p>
    <w:p w:rsidR="00A0046E" w:rsidRPr="00D86047" w:rsidRDefault="00A0046E" w:rsidP="00A004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D86047">
        <w:rPr>
          <w:rFonts w:asciiTheme="majorHAnsi" w:hAnsiTheme="majorHAnsi" w:cs="Arial"/>
        </w:rPr>
        <w:t>da upozorava koncesionara na uočene nedostatke te može zahtijevati da usluge budu izvršene u skladu sa odredbama ugovora o koncesiji, i to isključivo pismenim putem.</w:t>
      </w:r>
    </w:p>
    <w:p w:rsidR="000537AD" w:rsidRPr="00D86047" w:rsidRDefault="000537AD" w:rsidP="000537AD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D86047">
        <w:rPr>
          <w:rFonts w:asciiTheme="majorHAnsi" w:hAnsiTheme="majorHAnsi" w:cs="Arial"/>
          <w:bCs/>
        </w:rPr>
        <w:t>Obveze koncesionara su:</w:t>
      </w:r>
    </w:p>
    <w:p w:rsidR="00A0046E" w:rsidRPr="00D86047" w:rsidRDefault="00A0046E" w:rsidP="00A0046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>da najmanje jedanput godišnje, a prema zahtjevu i više puta dostavi davatelju koncesije izvješće o svom poslovanju, vez</w:t>
      </w:r>
      <w:r w:rsidR="00355822">
        <w:rPr>
          <w:rFonts w:asciiTheme="majorHAnsi" w:hAnsiTheme="majorHAnsi" w:cs="Arial"/>
        </w:rPr>
        <w:t xml:space="preserve">ano za obavljanje </w:t>
      </w:r>
      <w:r w:rsidRPr="00D86047">
        <w:rPr>
          <w:rFonts w:asciiTheme="majorHAnsi" w:hAnsiTheme="majorHAnsi" w:cs="Arial"/>
        </w:rPr>
        <w:t>usluga</w:t>
      </w:r>
      <w:r w:rsidR="00355822">
        <w:rPr>
          <w:rFonts w:asciiTheme="majorHAnsi" w:hAnsiTheme="majorHAnsi" w:cs="Arial"/>
        </w:rPr>
        <w:t xml:space="preserve"> prikupljanja otpada</w:t>
      </w:r>
      <w:r w:rsidRPr="00D86047">
        <w:rPr>
          <w:rFonts w:asciiTheme="majorHAnsi" w:hAnsiTheme="majorHAnsi" w:cs="Arial"/>
        </w:rPr>
        <w:t>,</w:t>
      </w:r>
    </w:p>
    <w:p w:rsidR="00A0046E" w:rsidRPr="00D86047" w:rsidRDefault="00A0046E" w:rsidP="00A0046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>redovito plaćati naknadu za koncesiju,</w:t>
      </w:r>
    </w:p>
    <w:p w:rsidR="00A0046E" w:rsidRPr="00D86047" w:rsidRDefault="00A0046E" w:rsidP="00A0046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 xml:space="preserve">obavljati djelatnost po načelu dobrog gospodarstvenika, </w:t>
      </w:r>
    </w:p>
    <w:p w:rsidR="00A0046E" w:rsidRPr="00D86047" w:rsidRDefault="00A0046E" w:rsidP="00A0046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/>
        </w:rPr>
        <w:t xml:space="preserve">da u </w:t>
      </w:r>
      <w:r w:rsidRPr="00D86047">
        <w:rPr>
          <w:rFonts w:asciiTheme="majorHAnsi" w:hAnsiTheme="majorHAnsi"/>
          <w:lang w:val="pl-PL"/>
        </w:rPr>
        <w:t>slu</w:t>
      </w:r>
      <w:r w:rsidRPr="00D86047">
        <w:rPr>
          <w:rFonts w:asciiTheme="majorHAnsi" w:hAnsiTheme="majorHAnsi"/>
        </w:rPr>
        <w:t>č</w:t>
      </w:r>
      <w:r w:rsidRPr="00D86047">
        <w:rPr>
          <w:rFonts w:asciiTheme="majorHAnsi" w:hAnsiTheme="majorHAnsi"/>
          <w:lang w:val="pl-PL"/>
        </w:rPr>
        <w:t>aju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potrebe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promjene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cijena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usluga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iz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cjenika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koji</w:t>
      </w:r>
      <w:r w:rsidRPr="00D86047">
        <w:rPr>
          <w:rFonts w:asciiTheme="majorHAnsi" w:hAnsiTheme="majorHAnsi"/>
        </w:rPr>
        <w:t xml:space="preserve"> č</w:t>
      </w:r>
      <w:r w:rsidRPr="00D86047">
        <w:rPr>
          <w:rFonts w:asciiTheme="majorHAnsi" w:hAnsiTheme="majorHAnsi"/>
          <w:lang w:val="pl-PL"/>
        </w:rPr>
        <w:t>ini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sastavni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dio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ugovora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o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koncesiji</w:t>
      </w:r>
      <w:r w:rsidRPr="00D86047">
        <w:rPr>
          <w:rFonts w:asciiTheme="majorHAnsi" w:hAnsiTheme="majorHAnsi"/>
        </w:rPr>
        <w:t xml:space="preserve">, a </w:t>
      </w:r>
      <w:r w:rsidRPr="00D86047">
        <w:rPr>
          <w:rFonts w:asciiTheme="majorHAnsi" w:hAnsiTheme="majorHAnsi"/>
          <w:lang w:val="pl-PL"/>
        </w:rPr>
        <w:t>sukladno</w:t>
      </w:r>
      <w:r w:rsidRPr="00D86047">
        <w:rPr>
          <w:rFonts w:asciiTheme="majorHAnsi" w:hAnsiTheme="majorHAnsi"/>
        </w:rPr>
        <w:t xml:space="preserve"> č</w:t>
      </w:r>
      <w:r w:rsidRPr="00D86047">
        <w:rPr>
          <w:rFonts w:asciiTheme="majorHAnsi" w:hAnsiTheme="majorHAnsi"/>
          <w:lang w:val="pl-PL"/>
        </w:rPr>
        <w:t>lanku</w:t>
      </w:r>
      <w:r w:rsidRPr="00D86047">
        <w:rPr>
          <w:rFonts w:asciiTheme="majorHAnsi" w:hAnsiTheme="majorHAnsi"/>
        </w:rPr>
        <w:t xml:space="preserve"> 21. </w:t>
      </w:r>
      <w:r w:rsidRPr="00D86047">
        <w:rPr>
          <w:rFonts w:asciiTheme="majorHAnsi" w:hAnsiTheme="majorHAnsi"/>
          <w:lang w:val="pl-PL"/>
        </w:rPr>
        <w:t>Zakona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o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komunalnom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gospodarstvu</w:t>
      </w:r>
      <w:r w:rsidRPr="00D86047">
        <w:rPr>
          <w:rFonts w:asciiTheme="majorHAnsi" w:hAnsiTheme="majorHAnsi"/>
        </w:rPr>
        <w:t xml:space="preserve"> i odredbama </w:t>
      </w:r>
      <w:r w:rsidRPr="00D86047">
        <w:rPr>
          <w:rFonts w:asciiTheme="majorHAnsi" w:hAnsiTheme="majorHAnsi"/>
          <w:lang w:val="pl-PL"/>
        </w:rPr>
        <w:t>Zakona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o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koncesijama</w:t>
      </w:r>
      <w:r w:rsidRPr="00D86047">
        <w:rPr>
          <w:rFonts w:asciiTheme="majorHAnsi" w:hAnsiTheme="majorHAnsi"/>
        </w:rPr>
        <w:t xml:space="preserve">, </w:t>
      </w:r>
      <w:r w:rsidRPr="00D86047">
        <w:rPr>
          <w:rFonts w:asciiTheme="majorHAnsi" w:hAnsiTheme="majorHAnsi"/>
          <w:lang w:val="pl-PL"/>
        </w:rPr>
        <w:t>du</w:t>
      </w:r>
      <w:r w:rsidRPr="00D86047">
        <w:rPr>
          <w:rFonts w:asciiTheme="majorHAnsi" w:hAnsiTheme="majorHAnsi"/>
        </w:rPr>
        <w:t>ž</w:t>
      </w:r>
      <w:r w:rsidRPr="00D86047">
        <w:rPr>
          <w:rFonts w:asciiTheme="majorHAnsi" w:hAnsiTheme="majorHAnsi"/>
          <w:lang w:val="pl-PL"/>
        </w:rPr>
        <w:t>an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je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pribaviti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prethodnu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suglasnost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>predstavni</w:t>
      </w:r>
      <w:r w:rsidRPr="00D86047">
        <w:rPr>
          <w:rFonts w:asciiTheme="majorHAnsi" w:hAnsiTheme="majorHAnsi"/>
        </w:rPr>
        <w:t>č</w:t>
      </w:r>
      <w:r w:rsidRPr="00D86047">
        <w:rPr>
          <w:rFonts w:asciiTheme="majorHAnsi" w:hAnsiTheme="majorHAnsi"/>
          <w:lang w:val="pl-PL"/>
        </w:rPr>
        <w:t>kog</w:t>
      </w:r>
      <w:r w:rsidRPr="00D86047">
        <w:rPr>
          <w:rFonts w:asciiTheme="majorHAnsi" w:hAnsiTheme="majorHAnsi"/>
        </w:rPr>
        <w:t xml:space="preserve"> </w:t>
      </w:r>
      <w:r w:rsidRPr="00D86047">
        <w:rPr>
          <w:rFonts w:asciiTheme="majorHAnsi" w:hAnsiTheme="majorHAnsi"/>
          <w:lang w:val="pl-PL"/>
        </w:rPr>
        <w:t xml:space="preserve">tijela davatelja koncesije. </w:t>
      </w:r>
      <w:r w:rsidRPr="00D86047">
        <w:rPr>
          <w:rFonts w:asciiTheme="majorHAnsi" w:hAnsiTheme="majorHAnsi"/>
        </w:rPr>
        <w:t>Zahtjev za promjenu cijena usluge mora biti obrazložen.</w:t>
      </w:r>
    </w:p>
    <w:p w:rsidR="000537AD" w:rsidRPr="00D86047" w:rsidRDefault="000537AD" w:rsidP="000537AD">
      <w:pPr>
        <w:spacing w:after="0" w:line="240" w:lineRule="auto"/>
        <w:jc w:val="both"/>
        <w:rPr>
          <w:rFonts w:asciiTheme="majorHAnsi" w:hAnsiTheme="majorHAnsi"/>
        </w:rPr>
      </w:pPr>
    </w:p>
    <w:p w:rsidR="000537AD" w:rsidRPr="00D86047" w:rsidRDefault="000537AD" w:rsidP="000537AD">
      <w:pPr>
        <w:spacing w:after="0" w:line="240" w:lineRule="auto"/>
        <w:jc w:val="center"/>
        <w:rPr>
          <w:rFonts w:asciiTheme="majorHAnsi" w:hAnsiTheme="majorHAnsi"/>
          <w:b/>
        </w:rPr>
      </w:pPr>
      <w:r w:rsidRPr="00D86047">
        <w:rPr>
          <w:rFonts w:asciiTheme="majorHAnsi" w:hAnsiTheme="majorHAnsi"/>
          <w:b/>
        </w:rPr>
        <w:t>VI</w:t>
      </w:r>
    </w:p>
    <w:p w:rsidR="000537AD" w:rsidRPr="00D86047" w:rsidRDefault="000537AD" w:rsidP="000537AD">
      <w:pPr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>Koncesijs</w:t>
      </w:r>
      <w:r w:rsidR="00A0046E" w:rsidRPr="00D86047">
        <w:rPr>
          <w:rFonts w:asciiTheme="majorHAnsi" w:hAnsiTheme="majorHAnsi" w:cs="Arial"/>
        </w:rPr>
        <w:t xml:space="preserve">ka naknada je izražena u </w:t>
      </w:r>
      <w:r w:rsidR="0048583A" w:rsidRPr="00D86047">
        <w:rPr>
          <w:rFonts w:asciiTheme="majorHAnsi" w:hAnsiTheme="majorHAnsi" w:cs="Arial"/>
        </w:rPr>
        <w:t>fiksnom</w:t>
      </w:r>
      <w:r w:rsidRPr="00D86047">
        <w:rPr>
          <w:rFonts w:asciiTheme="majorHAnsi" w:hAnsiTheme="majorHAnsi" w:cs="Arial"/>
        </w:rPr>
        <w:t xml:space="preserve"> iznosu </w:t>
      </w:r>
      <w:r w:rsidR="00A0046E" w:rsidRPr="00D86047">
        <w:rPr>
          <w:rFonts w:asciiTheme="majorHAnsi" w:hAnsiTheme="majorHAnsi" w:cstheme="minorHAnsi"/>
        </w:rPr>
        <w:t xml:space="preserve">u visini od </w:t>
      </w:r>
      <w:r w:rsidR="00DF7760">
        <w:rPr>
          <w:rFonts w:asciiTheme="majorHAnsi" w:hAnsiTheme="majorHAnsi" w:cstheme="minorHAnsi"/>
        </w:rPr>
        <w:t>7.1</w:t>
      </w:r>
      <w:r w:rsidR="0048583A" w:rsidRPr="00D86047">
        <w:rPr>
          <w:rFonts w:asciiTheme="majorHAnsi" w:hAnsiTheme="majorHAnsi" w:cstheme="minorHAnsi"/>
        </w:rPr>
        <w:t>00,00 kuna godišnje.</w:t>
      </w:r>
    </w:p>
    <w:p w:rsidR="000537AD" w:rsidRPr="00D86047" w:rsidRDefault="000537AD" w:rsidP="000537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>Ukoliko Koncesionar ne plati dospjelu koncesijsku naknadu, Davatelj koncesije obra</w:t>
      </w:r>
      <w:r w:rsidRPr="00D86047">
        <w:rPr>
          <w:rFonts w:asciiTheme="majorHAnsi" w:hAnsiTheme="majorHAnsi" w:cs="Times New Roman"/>
        </w:rPr>
        <w:t>č</w:t>
      </w:r>
      <w:r w:rsidRPr="00D86047">
        <w:rPr>
          <w:rFonts w:asciiTheme="majorHAnsi" w:hAnsiTheme="majorHAnsi" w:cs="Arial"/>
        </w:rPr>
        <w:t xml:space="preserve">unat </w:t>
      </w:r>
      <w:r w:rsidRPr="00D86047">
        <w:rPr>
          <w:rFonts w:asciiTheme="majorHAnsi" w:hAnsiTheme="majorHAnsi" w:cs="Times New Roman"/>
        </w:rPr>
        <w:t>ć</w:t>
      </w:r>
      <w:r w:rsidRPr="00D86047">
        <w:rPr>
          <w:rFonts w:asciiTheme="majorHAnsi" w:hAnsiTheme="majorHAnsi" w:cs="Arial"/>
        </w:rPr>
        <w:t>e pripadaju</w:t>
      </w:r>
      <w:r w:rsidRPr="00D86047">
        <w:rPr>
          <w:rFonts w:asciiTheme="majorHAnsi" w:hAnsiTheme="majorHAnsi" w:cs="Times New Roman"/>
        </w:rPr>
        <w:t>ć</w:t>
      </w:r>
      <w:r w:rsidRPr="00D86047">
        <w:rPr>
          <w:rFonts w:asciiTheme="majorHAnsi" w:hAnsiTheme="majorHAnsi" w:cs="Arial"/>
        </w:rPr>
        <w:t>u zakonsku kamatu.</w:t>
      </w:r>
    </w:p>
    <w:p w:rsidR="000537AD" w:rsidRPr="00D86047" w:rsidRDefault="000537AD" w:rsidP="000537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>Na</w:t>
      </w:r>
      <w:r w:rsidRPr="00D86047">
        <w:rPr>
          <w:rFonts w:asciiTheme="majorHAnsi" w:hAnsiTheme="majorHAnsi" w:cs="Times New Roman"/>
        </w:rPr>
        <w:t>č</w:t>
      </w:r>
      <w:r w:rsidRPr="00D86047">
        <w:rPr>
          <w:rFonts w:asciiTheme="majorHAnsi" w:hAnsiTheme="majorHAnsi" w:cs="Arial"/>
        </w:rPr>
        <w:t>ini i rokovi pla</w:t>
      </w:r>
      <w:r w:rsidRPr="00D86047">
        <w:rPr>
          <w:rFonts w:asciiTheme="majorHAnsi" w:hAnsiTheme="majorHAnsi" w:cs="Times New Roman"/>
        </w:rPr>
        <w:t>ć</w:t>
      </w:r>
      <w:r w:rsidRPr="00D86047">
        <w:rPr>
          <w:rFonts w:asciiTheme="majorHAnsi" w:hAnsiTheme="majorHAnsi" w:cs="Arial"/>
        </w:rPr>
        <w:t xml:space="preserve">anja koncesije utvrdit </w:t>
      </w:r>
      <w:r w:rsidRPr="00D86047">
        <w:rPr>
          <w:rFonts w:asciiTheme="majorHAnsi" w:hAnsiTheme="majorHAnsi" w:cs="Times New Roman"/>
        </w:rPr>
        <w:t>ć</w:t>
      </w:r>
      <w:r w:rsidRPr="00D86047">
        <w:rPr>
          <w:rFonts w:asciiTheme="majorHAnsi" w:hAnsiTheme="majorHAnsi" w:cs="Arial"/>
        </w:rPr>
        <w:t>e se ugovorom o koncesiji, sukladno dokumentaciji za nadmetanje.</w:t>
      </w:r>
    </w:p>
    <w:p w:rsidR="000537AD" w:rsidRPr="00D86047" w:rsidRDefault="000537AD" w:rsidP="000537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537AD" w:rsidRPr="00D86047" w:rsidRDefault="000537AD" w:rsidP="000537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  <w:r w:rsidRPr="00D86047">
        <w:rPr>
          <w:rFonts w:asciiTheme="majorHAnsi" w:hAnsiTheme="majorHAnsi" w:cs="Arial"/>
          <w:b/>
        </w:rPr>
        <w:t>VII</w:t>
      </w:r>
    </w:p>
    <w:p w:rsidR="000537AD" w:rsidRPr="00D86047" w:rsidRDefault="000537AD" w:rsidP="000537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>Na temelju ove Odluke ovlaš</w:t>
      </w:r>
      <w:r w:rsidRPr="00D86047">
        <w:rPr>
          <w:rFonts w:asciiTheme="majorHAnsi" w:hAnsiTheme="majorHAnsi" w:cs="Times New Roman"/>
        </w:rPr>
        <w:t>ć</w:t>
      </w:r>
      <w:r w:rsidR="00355822">
        <w:rPr>
          <w:rFonts w:asciiTheme="majorHAnsi" w:hAnsiTheme="majorHAnsi" w:cs="Arial"/>
        </w:rPr>
        <w:t>uje se načelnica općine</w:t>
      </w:r>
      <w:r w:rsidRPr="00D86047">
        <w:rPr>
          <w:rFonts w:asciiTheme="majorHAnsi" w:hAnsiTheme="majorHAnsi" w:cs="Arial"/>
        </w:rPr>
        <w:t xml:space="preserve"> za sklapanje ugovora o koncesiji, kojim </w:t>
      </w:r>
      <w:r w:rsidRPr="00D86047">
        <w:rPr>
          <w:rFonts w:asciiTheme="majorHAnsi" w:hAnsiTheme="majorHAnsi" w:cs="Times New Roman"/>
        </w:rPr>
        <w:t>ć</w:t>
      </w:r>
      <w:r w:rsidRPr="00D86047">
        <w:rPr>
          <w:rFonts w:asciiTheme="majorHAnsi" w:hAnsiTheme="majorHAnsi" w:cs="Arial"/>
        </w:rPr>
        <w:t>e se urediti prava i obveze Davatelja koncesije i Koncesionara.</w:t>
      </w:r>
    </w:p>
    <w:p w:rsidR="000537AD" w:rsidRPr="00D86047" w:rsidRDefault="000537AD" w:rsidP="000537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 xml:space="preserve">Ugovor o koncesiji sklopit </w:t>
      </w:r>
      <w:r w:rsidRPr="00D86047">
        <w:rPr>
          <w:rFonts w:asciiTheme="majorHAnsi" w:hAnsiTheme="majorHAnsi" w:cs="Times New Roman"/>
        </w:rPr>
        <w:t>ć</w:t>
      </w:r>
      <w:r w:rsidRPr="00D86047">
        <w:rPr>
          <w:rFonts w:asciiTheme="majorHAnsi" w:hAnsiTheme="majorHAnsi" w:cs="Arial"/>
        </w:rPr>
        <w:t>e se nakon isteka roka mirovanja koji iznosi 15 dana od dana dostav</w:t>
      </w:r>
      <w:r w:rsidR="00DC09C7" w:rsidRPr="00D86047">
        <w:rPr>
          <w:rFonts w:asciiTheme="majorHAnsi" w:hAnsiTheme="majorHAnsi" w:cs="Arial"/>
        </w:rPr>
        <w:t>e ove Odluke svakom ponuditelju, odnosno najkasnije u roku od 10 dana od dana kada je odluka o davanju koncesije postala izvršna.</w:t>
      </w:r>
    </w:p>
    <w:p w:rsidR="00DC09C7" w:rsidRPr="00D86047" w:rsidRDefault="00DC09C7" w:rsidP="000537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DC09C7" w:rsidRPr="00D86047" w:rsidRDefault="00DC09C7" w:rsidP="00CE59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  <w:r w:rsidRPr="00D86047">
        <w:rPr>
          <w:rFonts w:asciiTheme="majorHAnsi" w:hAnsiTheme="majorHAnsi" w:cs="Arial"/>
          <w:b/>
        </w:rPr>
        <w:t>VIII</w:t>
      </w:r>
    </w:p>
    <w:p w:rsidR="00DC09C7" w:rsidRPr="00D86047" w:rsidRDefault="00DC09C7" w:rsidP="00CE59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>Koncesionar je dužan prije sklapanja ugovora o koncesiji dostaviti Davatelju koncesije jamstvo osiguranja naplate naknade za koncesiju koja može nastati zbog neispunjenja obveza iz ugovora o koncesiji, suk</w:t>
      </w:r>
      <w:r w:rsidR="00CE59AA" w:rsidRPr="00D86047">
        <w:rPr>
          <w:rFonts w:asciiTheme="majorHAnsi" w:hAnsiTheme="majorHAnsi" w:cs="Arial"/>
        </w:rPr>
        <w:t xml:space="preserve">ladno dokumentaciji za </w:t>
      </w:r>
      <w:r w:rsidRPr="00D86047">
        <w:rPr>
          <w:rFonts w:asciiTheme="majorHAnsi" w:hAnsiTheme="majorHAnsi" w:cs="Arial"/>
        </w:rPr>
        <w:t>nadmetanje.</w:t>
      </w:r>
    </w:p>
    <w:p w:rsidR="00DC09C7" w:rsidRPr="00D86047" w:rsidRDefault="00DC09C7" w:rsidP="00CE59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>Ukoliko Koncesionar ne postupi na na</w:t>
      </w:r>
      <w:r w:rsidR="00CE59AA" w:rsidRPr="00D86047">
        <w:rPr>
          <w:rFonts w:asciiTheme="majorHAnsi" w:hAnsiTheme="majorHAnsi" w:cs="Times New Roman"/>
        </w:rPr>
        <w:t>č</w:t>
      </w:r>
      <w:r w:rsidRPr="00D86047">
        <w:rPr>
          <w:rFonts w:asciiTheme="majorHAnsi" w:hAnsiTheme="majorHAnsi" w:cs="Arial"/>
        </w:rPr>
        <w:t>in utvr</w:t>
      </w:r>
      <w:r w:rsidR="00CE59AA" w:rsidRPr="00D86047">
        <w:rPr>
          <w:rFonts w:asciiTheme="majorHAnsi" w:hAnsiTheme="majorHAnsi" w:cs="Times New Roman"/>
        </w:rPr>
        <w:t>đ</w:t>
      </w:r>
      <w:r w:rsidRPr="00D86047">
        <w:rPr>
          <w:rFonts w:asciiTheme="majorHAnsi" w:hAnsiTheme="majorHAnsi" w:cs="Arial"/>
        </w:rPr>
        <w:t>en u stavku 1. ove to</w:t>
      </w:r>
      <w:r w:rsidR="00CE59AA" w:rsidRPr="00D86047">
        <w:rPr>
          <w:rFonts w:asciiTheme="majorHAnsi" w:hAnsiTheme="majorHAnsi" w:cs="Times New Roman"/>
        </w:rPr>
        <w:t>č</w:t>
      </w:r>
      <w:r w:rsidRPr="00D86047">
        <w:rPr>
          <w:rFonts w:asciiTheme="majorHAnsi" w:hAnsiTheme="majorHAnsi" w:cs="Arial"/>
        </w:rPr>
        <w:t>ke, ugovor o</w:t>
      </w:r>
      <w:r w:rsidR="00CE59AA" w:rsidRPr="00D86047">
        <w:rPr>
          <w:rFonts w:asciiTheme="majorHAnsi" w:hAnsiTheme="majorHAnsi" w:cs="Arial"/>
        </w:rPr>
        <w:t xml:space="preserve"> </w:t>
      </w:r>
      <w:r w:rsidRPr="00D86047">
        <w:rPr>
          <w:rFonts w:asciiTheme="majorHAnsi" w:hAnsiTheme="majorHAnsi" w:cs="Arial"/>
        </w:rPr>
        <w:t>koncesiji ne</w:t>
      </w:r>
      <w:r w:rsidR="00CE59AA" w:rsidRPr="00D86047">
        <w:rPr>
          <w:rFonts w:asciiTheme="majorHAnsi" w:hAnsiTheme="majorHAnsi" w:cs="Times New Roman"/>
        </w:rPr>
        <w:t>ć</w:t>
      </w:r>
      <w:r w:rsidRPr="00D86047">
        <w:rPr>
          <w:rFonts w:asciiTheme="majorHAnsi" w:hAnsiTheme="majorHAnsi" w:cs="Arial"/>
        </w:rPr>
        <w:t>e biti sklopljen.</w:t>
      </w:r>
    </w:p>
    <w:p w:rsidR="006C409D" w:rsidRDefault="006C409D" w:rsidP="00FE4437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DF7760" w:rsidRPr="00D86047" w:rsidRDefault="00DF7760" w:rsidP="00FE4437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FE4437" w:rsidRPr="00D86047" w:rsidRDefault="007F75ED" w:rsidP="006C409D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D86047">
        <w:rPr>
          <w:rFonts w:asciiTheme="majorHAnsi" w:hAnsiTheme="majorHAnsi" w:cstheme="minorHAnsi"/>
          <w:b/>
        </w:rPr>
        <w:t>O b r a z l</w:t>
      </w:r>
      <w:r w:rsidR="00DC09C7" w:rsidRPr="00D86047">
        <w:rPr>
          <w:rFonts w:asciiTheme="majorHAnsi" w:hAnsiTheme="majorHAnsi" w:cstheme="minorHAnsi"/>
          <w:b/>
        </w:rPr>
        <w:t xml:space="preserve"> </w:t>
      </w:r>
      <w:r w:rsidRPr="00D86047">
        <w:rPr>
          <w:rFonts w:asciiTheme="majorHAnsi" w:hAnsiTheme="majorHAnsi" w:cstheme="minorHAnsi"/>
          <w:b/>
        </w:rPr>
        <w:t>o ž e n j e</w:t>
      </w:r>
    </w:p>
    <w:p w:rsidR="006C409D" w:rsidRPr="00D86047" w:rsidRDefault="006C409D" w:rsidP="00FE4437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FE4437" w:rsidRPr="00DF7760" w:rsidRDefault="004C2743" w:rsidP="00DF7760">
      <w:pPr>
        <w:pStyle w:val="Heading4"/>
        <w:spacing w:before="0"/>
        <w:jc w:val="both"/>
        <w:rPr>
          <w:b w:val="0"/>
          <w:i w:val="0"/>
          <w:color w:val="auto"/>
          <w:sz w:val="22"/>
          <w:szCs w:val="22"/>
        </w:rPr>
      </w:pPr>
      <w:r w:rsidRPr="00DF7760">
        <w:rPr>
          <w:rFonts w:cstheme="minorHAnsi"/>
          <w:b w:val="0"/>
          <w:i w:val="0"/>
          <w:color w:val="auto"/>
          <w:sz w:val="22"/>
          <w:szCs w:val="22"/>
        </w:rPr>
        <w:lastRenderedPageBreak/>
        <w:t xml:space="preserve">U </w:t>
      </w:r>
      <w:r w:rsidR="00312116" w:rsidRPr="00DF7760">
        <w:rPr>
          <w:rFonts w:cstheme="minorHAnsi"/>
          <w:b w:val="0"/>
          <w:i w:val="0"/>
          <w:color w:val="auto"/>
          <w:sz w:val="22"/>
          <w:szCs w:val="22"/>
        </w:rPr>
        <w:t>Elektroničkom oglasniku javne nabave, broj objave:</w:t>
      </w:r>
      <w:r w:rsidR="005E24FE" w:rsidRPr="00DF7760">
        <w:rPr>
          <w:rFonts w:cs="TimesNewRomanPSMT"/>
          <w:b w:val="0"/>
          <w:i w:val="0"/>
          <w:color w:val="auto"/>
          <w:sz w:val="22"/>
          <w:szCs w:val="22"/>
        </w:rPr>
        <w:t xml:space="preserve"> </w:t>
      </w:r>
      <w:r w:rsidR="00DF7760" w:rsidRPr="00DF7760">
        <w:rPr>
          <w:b w:val="0"/>
          <w:i w:val="0"/>
          <w:color w:val="auto"/>
          <w:sz w:val="22"/>
          <w:szCs w:val="22"/>
        </w:rPr>
        <w:t xml:space="preserve">2016S 01K-0001529 </w:t>
      </w:r>
      <w:r w:rsidR="00DF7760" w:rsidRPr="00DF7760">
        <w:rPr>
          <w:rFonts w:cstheme="minorHAnsi"/>
          <w:b w:val="0"/>
          <w:i w:val="0"/>
          <w:color w:val="auto"/>
          <w:sz w:val="22"/>
          <w:szCs w:val="22"/>
        </w:rPr>
        <w:t xml:space="preserve">od </w:t>
      </w:r>
      <w:r w:rsidR="00DF7760" w:rsidRPr="00DF7760">
        <w:rPr>
          <w:b w:val="0"/>
          <w:i w:val="0"/>
          <w:color w:val="auto"/>
          <w:sz w:val="22"/>
          <w:szCs w:val="22"/>
        </w:rPr>
        <w:t>27.01.2016</w:t>
      </w:r>
      <w:r w:rsidR="00DF7760" w:rsidRPr="00DF7760">
        <w:rPr>
          <w:rFonts w:cstheme="minorHAnsi"/>
          <w:b w:val="0"/>
          <w:i w:val="0"/>
          <w:color w:val="auto"/>
          <w:sz w:val="22"/>
          <w:szCs w:val="22"/>
        </w:rPr>
        <w:t xml:space="preserve">. godine; datum slanja objave: </w:t>
      </w:r>
      <w:r w:rsidR="00DF7760" w:rsidRPr="00DF7760">
        <w:rPr>
          <w:b w:val="0"/>
          <w:i w:val="0"/>
          <w:color w:val="auto"/>
          <w:sz w:val="22"/>
          <w:szCs w:val="22"/>
        </w:rPr>
        <w:t>26.01.2016</w:t>
      </w:r>
      <w:r w:rsidR="00DF7760" w:rsidRPr="00DF7760">
        <w:rPr>
          <w:rFonts w:cstheme="minorHAnsi"/>
          <w:b w:val="0"/>
          <w:i w:val="0"/>
          <w:color w:val="auto"/>
          <w:sz w:val="22"/>
          <w:szCs w:val="22"/>
        </w:rPr>
        <w:t>. godine</w:t>
      </w:r>
      <w:r w:rsidR="00781AD8" w:rsidRPr="00DF7760">
        <w:rPr>
          <w:rFonts w:cstheme="minorHAnsi"/>
          <w:b w:val="0"/>
          <w:i w:val="0"/>
          <w:color w:val="auto"/>
          <w:sz w:val="22"/>
          <w:szCs w:val="22"/>
        </w:rPr>
        <w:t xml:space="preserve">, </w:t>
      </w:r>
      <w:r w:rsidR="00FE4437" w:rsidRPr="00DF7760">
        <w:rPr>
          <w:rFonts w:cstheme="minorHAnsi"/>
          <w:b w:val="0"/>
          <w:i w:val="0"/>
          <w:color w:val="auto"/>
          <w:sz w:val="22"/>
          <w:szCs w:val="22"/>
        </w:rPr>
        <w:t>objavljena je Obavijest o namjeri</w:t>
      </w:r>
      <w:r w:rsidR="00740E93" w:rsidRPr="00DF7760">
        <w:rPr>
          <w:rFonts w:cstheme="minorHAnsi"/>
          <w:b w:val="0"/>
          <w:i w:val="0"/>
          <w:color w:val="auto"/>
          <w:sz w:val="22"/>
          <w:szCs w:val="22"/>
        </w:rPr>
        <w:t xml:space="preserve"> dava</w:t>
      </w:r>
      <w:r w:rsidR="00312116" w:rsidRPr="00DF7760">
        <w:rPr>
          <w:rFonts w:cstheme="minorHAnsi"/>
          <w:b w:val="0"/>
          <w:i w:val="0"/>
          <w:color w:val="auto"/>
          <w:sz w:val="22"/>
          <w:szCs w:val="22"/>
        </w:rPr>
        <w:t>nja koncesije sukladno članku 19</w:t>
      </w:r>
      <w:r w:rsidR="00740E93" w:rsidRPr="00DF7760">
        <w:rPr>
          <w:rFonts w:cstheme="minorHAnsi"/>
          <w:b w:val="0"/>
          <w:i w:val="0"/>
          <w:color w:val="auto"/>
          <w:sz w:val="22"/>
          <w:szCs w:val="22"/>
        </w:rPr>
        <w:t>.</w:t>
      </w:r>
      <w:r w:rsidR="00312116" w:rsidRPr="00DF7760">
        <w:rPr>
          <w:rFonts w:cstheme="minorHAnsi"/>
          <w:b w:val="0"/>
          <w:i w:val="0"/>
          <w:color w:val="auto"/>
          <w:sz w:val="22"/>
          <w:szCs w:val="22"/>
        </w:rPr>
        <w:t xml:space="preserve"> stavku 1. i članku 21.</w:t>
      </w:r>
      <w:r w:rsidR="00740E93" w:rsidRPr="00DF7760">
        <w:rPr>
          <w:rFonts w:cstheme="minorHAnsi"/>
          <w:b w:val="0"/>
          <w:i w:val="0"/>
          <w:color w:val="auto"/>
          <w:sz w:val="22"/>
          <w:szCs w:val="22"/>
        </w:rPr>
        <w:t xml:space="preserve"> Zakona o koncesijama</w:t>
      </w:r>
      <w:r w:rsidR="00FE4437" w:rsidRPr="00DF7760">
        <w:rPr>
          <w:rFonts w:cstheme="minorHAnsi"/>
          <w:b w:val="0"/>
          <w:i w:val="0"/>
          <w:color w:val="auto"/>
          <w:sz w:val="22"/>
          <w:szCs w:val="22"/>
        </w:rPr>
        <w:t>. U Obavijesti je navedeno da se ko</w:t>
      </w:r>
      <w:r w:rsidR="00DF7760" w:rsidRPr="00DF7760">
        <w:rPr>
          <w:rFonts w:cstheme="minorHAnsi"/>
          <w:b w:val="0"/>
          <w:i w:val="0"/>
          <w:color w:val="auto"/>
          <w:sz w:val="22"/>
          <w:szCs w:val="22"/>
        </w:rPr>
        <w:t>ncesija daje na rok od 5 godina</w:t>
      </w:r>
      <w:r w:rsidR="00FE4437" w:rsidRPr="00DF7760">
        <w:rPr>
          <w:rFonts w:cstheme="minorHAnsi"/>
          <w:b w:val="0"/>
          <w:i w:val="0"/>
          <w:color w:val="auto"/>
          <w:sz w:val="22"/>
          <w:szCs w:val="22"/>
        </w:rPr>
        <w:t>, uz</w:t>
      </w:r>
      <w:r w:rsidR="00357E5D" w:rsidRPr="00DF7760">
        <w:rPr>
          <w:rFonts w:cstheme="minorHAnsi"/>
          <w:b w:val="0"/>
          <w:i w:val="0"/>
          <w:color w:val="auto"/>
          <w:sz w:val="22"/>
          <w:szCs w:val="22"/>
        </w:rPr>
        <w:t xml:space="preserve"> primjenu</w:t>
      </w:r>
      <w:r w:rsidR="00425440" w:rsidRPr="00DF7760">
        <w:rPr>
          <w:rFonts w:cstheme="minorHAnsi"/>
          <w:b w:val="0"/>
          <w:i w:val="0"/>
          <w:color w:val="auto"/>
          <w:sz w:val="22"/>
          <w:szCs w:val="22"/>
        </w:rPr>
        <w:t xml:space="preserve"> kriterij</w:t>
      </w:r>
      <w:r w:rsidR="00357E5D" w:rsidRPr="00DF7760">
        <w:rPr>
          <w:rFonts w:cstheme="minorHAnsi"/>
          <w:b w:val="0"/>
          <w:i w:val="0"/>
          <w:color w:val="auto"/>
          <w:sz w:val="22"/>
          <w:szCs w:val="22"/>
        </w:rPr>
        <w:t>a</w:t>
      </w:r>
      <w:r w:rsidR="00425440" w:rsidRPr="00DF7760">
        <w:rPr>
          <w:rFonts w:cstheme="minorHAnsi"/>
          <w:b w:val="0"/>
          <w:i w:val="0"/>
          <w:color w:val="auto"/>
          <w:sz w:val="22"/>
          <w:szCs w:val="22"/>
        </w:rPr>
        <w:t xml:space="preserve"> ekon</w:t>
      </w:r>
      <w:r w:rsidR="00357E5D" w:rsidRPr="00DF7760">
        <w:rPr>
          <w:rFonts w:cstheme="minorHAnsi"/>
          <w:b w:val="0"/>
          <w:i w:val="0"/>
          <w:color w:val="auto"/>
          <w:sz w:val="22"/>
          <w:szCs w:val="22"/>
        </w:rPr>
        <w:t>omski</w:t>
      </w:r>
      <w:r w:rsidR="00425440" w:rsidRPr="00DF7760">
        <w:rPr>
          <w:rFonts w:cstheme="minorHAnsi"/>
          <w:b w:val="0"/>
          <w:i w:val="0"/>
          <w:color w:val="auto"/>
          <w:sz w:val="22"/>
          <w:szCs w:val="22"/>
        </w:rPr>
        <w:t xml:space="preserve"> najpovoljnije ponude</w:t>
      </w:r>
      <w:r w:rsidR="00FE4437" w:rsidRPr="00DF7760">
        <w:rPr>
          <w:rFonts w:cstheme="minorHAnsi"/>
          <w:b w:val="0"/>
          <w:i w:val="0"/>
          <w:color w:val="auto"/>
          <w:sz w:val="22"/>
          <w:szCs w:val="22"/>
        </w:rPr>
        <w:t>.</w:t>
      </w:r>
    </w:p>
    <w:p w:rsidR="005E24FE" w:rsidRDefault="005E24FE" w:rsidP="005E24F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0046E" w:rsidRPr="005E24FE" w:rsidRDefault="00FE4437" w:rsidP="005E24FE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E24FE">
        <w:rPr>
          <w:rFonts w:asciiTheme="majorHAnsi" w:hAnsiTheme="majorHAnsi" w:cstheme="minorHAnsi"/>
        </w:rPr>
        <w:t>Na objavljeno jav</w:t>
      </w:r>
      <w:r w:rsidR="000F747F">
        <w:rPr>
          <w:rFonts w:asciiTheme="majorHAnsi" w:hAnsiTheme="majorHAnsi" w:cstheme="minorHAnsi"/>
        </w:rPr>
        <w:t>no prikupljanje ponuda pristiglo je tri ponude</w:t>
      </w:r>
      <w:r w:rsidR="00C06950" w:rsidRPr="005E24FE">
        <w:rPr>
          <w:rFonts w:asciiTheme="majorHAnsi" w:hAnsiTheme="majorHAnsi" w:cstheme="minorHAnsi"/>
        </w:rPr>
        <w:t xml:space="preserve"> ponuditelja</w:t>
      </w:r>
      <w:r w:rsidR="00A0046E" w:rsidRPr="005E24FE">
        <w:rPr>
          <w:rFonts w:asciiTheme="majorHAnsi" w:hAnsiTheme="majorHAnsi" w:cstheme="minorHAnsi"/>
        </w:rPr>
        <w:t>:</w:t>
      </w:r>
    </w:p>
    <w:p w:rsidR="00A0046E" w:rsidRPr="00D86047" w:rsidRDefault="00A0046E" w:rsidP="00312116">
      <w:pPr>
        <w:spacing w:after="0" w:line="240" w:lineRule="auto"/>
        <w:jc w:val="both"/>
        <w:rPr>
          <w:rFonts w:asciiTheme="majorHAnsi" w:hAnsiTheme="majorHAnsi" w:cstheme="minorHAnsi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738"/>
      </w:tblGrid>
      <w:tr w:rsidR="00A0046E" w:rsidRPr="00D86047" w:rsidTr="00A0046E">
        <w:trPr>
          <w:trHeight w:val="685"/>
        </w:trPr>
        <w:tc>
          <w:tcPr>
            <w:tcW w:w="641" w:type="dxa"/>
            <w:shd w:val="clear" w:color="auto" w:fill="A6A6A6" w:themeFill="background1" w:themeFillShade="A6"/>
            <w:vAlign w:val="center"/>
          </w:tcPr>
          <w:p w:rsidR="00A0046E" w:rsidRPr="00D86047" w:rsidRDefault="00A0046E" w:rsidP="00A0046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D86047">
              <w:rPr>
                <w:rFonts w:asciiTheme="majorHAnsi" w:hAnsiTheme="majorHAnsi" w:cs="Arial"/>
                <w:b/>
              </w:rPr>
              <w:t>r.</w:t>
            </w:r>
          </w:p>
          <w:p w:rsidR="00A0046E" w:rsidRPr="00D86047" w:rsidRDefault="00A0046E" w:rsidP="00A0046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D86047">
              <w:rPr>
                <w:rFonts w:asciiTheme="majorHAnsi" w:hAnsiTheme="majorHAnsi" w:cs="Arial"/>
                <w:b/>
              </w:rPr>
              <w:t>br.</w:t>
            </w:r>
          </w:p>
        </w:tc>
        <w:tc>
          <w:tcPr>
            <w:tcW w:w="5738" w:type="dxa"/>
            <w:shd w:val="clear" w:color="auto" w:fill="A6A6A6" w:themeFill="background1" w:themeFillShade="A6"/>
            <w:vAlign w:val="center"/>
          </w:tcPr>
          <w:p w:rsidR="00A0046E" w:rsidRPr="00D86047" w:rsidRDefault="00A0046E" w:rsidP="00A0046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D86047">
              <w:rPr>
                <w:rFonts w:asciiTheme="majorHAnsi" w:hAnsiTheme="majorHAnsi" w:cs="Arial"/>
                <w:b/>
              </w:rPr>
              <w:t>naziv, adresa, sjedište i OIB ponuditelja</w:t>
            </w:r>
          </w:p>
        </w:tc>
      </w:tr>
      <w:tr w:rsidR="00A0046E" w:rsidRPr="00D86047" w:rsidTr="00A0046E">
        <w:tc>
          <w:tcPr>
            <w:tcW w:w="641" w:type="dxa"/>
          </w:tcPr>
          <w:p w:rsidR="00A0046E" w:rsidRPr="00D86047" w:rsidRDefault="00A0046E" w:rsidP="00A0046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86047">
              <w:rPr>
                <w:rFonts w:asciiTheme="majorHAnsi" w:hAnsiTheme="majorHAnsi" w:cs="Arial"/>
              </w:rPr>
              <w:t>1</w:t>
            </w:r>
          </w:p>
        </w:tc>
        <w:tc>
          <w:tcPr>
            <w:tcW w:w="5738" w:type="dxa"/>
          </w:tcPr>
          <w:p w:rsidR="00A0046E" w:rsidRPr="00D86047" w:rsidRDefault="00A0046E" w:rsidP="00A0046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86047">
              <w:rPr>
                <w:rFonts w:asciiTheme="majorHAnsi" w:hAnsiTheme="majorHAnsi" w:cs="Arial"/>
              </w:rPr>
              <w:t>2</w:t>
            </w:r>
          </w:p>
        </w:tc>
      </w:tr>
      <w:tr w:rsidR="00DF7760" w:rsidRPr="00D86047" w:rsidTr="00A0046E">
        <w:trPr>
          <w:trHeight w:val="882"/>
        </w:trPr>
        <w:tc>
          <w:tcPr>
            <w:tcW w:w="641" w:type="dxa"/>
            <w:vAlign w:val="center"/>
          </w:tcPr>
          <w:p w:rsidR="00DF7760" w:rsidRPr="00D86047" w:rsidRDefault="00DF7760" w:rsidP="00A0046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D86047">
              <w:rPr>
                <w:rFonts w:asciiTheme="majorHAnsi" w:hAnsiTheme="majorHAnsi" w:cs="Arial"/>
                <w:b/>
              </w:rPr>
              <w:t>1.</w:t>
            </w:r>
          </w:p>
        </w:tc>
        <w:tc>
          <w:tcPr>
            <w:tcW w:w="5738" w:type="dxa"/>
            <w:vAlign w:val="center"/>
          </w:tcPr>
          <w:p w:rsidR="00DF7760" w:rsidRPr="00E529AA" w:rsidRDefault="00DF7760" w:rsidP="00DF7760">
            <w:pPr>
              <w:pStyle w:val="NoSpacing1"/>
              <w:rPr>
                <w:rFonts w:asciiTheme="majorHAnsi" w:hAnsiTheme="majorHAnsi" w:cs="Open Sans"/>
                <w:sz w:val="22"/>
                <w:szCs w:val="22"/>
              </w:rPr>
            </w:pPr>
            <w:r w:rsidRPr="00E529AA">
              <w:rPr>
                <w:rFonts w:asciiTheme="majorHAnsi" w:hAnsiTheme="majorHAnsi" w:cs="Open Sans"/>
                <w:sz w:val="22"/>
                <w:szCs w:val="22"/>
              </w:rPr>
              <w:t>KOMUNALAC d.o.o.</w:t>
            </w:r>
          </w:p>
          <w:p w:rsidR="00DF7760" w:rsidRPr="00E529AA" w:rsidRDefault="00DF7760" w:rsidP="00DF7760">
            <w:pPr>
              <w:pStyle w:val="NoSpacing1"/>
              <w:rPr>
                <w:rFonts w:asciiTheme="majorHAnsi" w:hAnsiTheme="majorHAnsi" w:cs="Open Sans"/>
                <w:sz w:val="22"/>
                <w:szCs w:val="22"/>
              </w:rPr>
            </w:pPr>
            <w:r w:rsidRPr="00E529AA">
              <w:rPr>
                <w:rFonts w:asciiTheme="majorHAnsi" w:hAnsiTheme="majorHAnsi" w:cs="Open Sans"/>
                <w:sz w:val="22"/>
                <w:szCs w:val="22"/>
              </w:rPr>
              <w:t>Sajmište 174</w:t>
            </w:r>
          </w:p>
          <w:p w:rsidR="00DF7760" w:rsidRPr="00E529AA" w:rsidRDefault="00DF7760" w:rsidP="00DF7760">
            <w:pPr>
              <w:pStyle w:val="NoSpacing1"/>
              <w:rPr>
                <w:rFonts w:asciiTheme="majorHAnsi" w:hAnsiTheme="majorHAnsi" w:cs="Open Sans"/>
                <w:sz w:val="22"/>
                <w:szCs w:val="22"/>
              </w:rPr>
            </w:pPr>
            <w:r w:rsidRPr="00E529AA">
              <w:rPr>
                <w:rFonts w:asciiTheme="majorHAnsi" w:hAnsiTheme="majorHAnsi" w:cs="Open Sans"/>
                <w:sz w:val="22"/>
                <w:szCs w:val="22"/>
              </w:rPr>
              <w:t>32000 Vukovar</w:t>
            </w:r>
          </w:p>
          <w:p w:rsidR="00DF7760" w:rsidRPr="00D07C03" w:rsidRDefault="00DF7760" w:rsidP="00DF7760">
            <w:pPr>
              <w:pStyle w:val="NoSpacing1"/>
              <w:rPr>
                <w:rFonts w:asciiTheme="majorHAnsi" w:hAnsiTheme="majorHAnsi" w:cs="Open Sans"/>
                <w:spacing w:val="-3"/>
                <w:sz w:val="22"/>
                <w:szCs w:val="22"/>
              </w:rPr>
            </w:pPr>
            <w:r w:rsidRPr="00E529AA">
              <w:rPr>
                <w:rFonts w:asciiTheme="majorHAnsi" w:hAnsiTheme="majorHAnsi" w:cs="Open Sans"/>
                <w:sz w:val="22"/>
                <w:szCs w:val="22"/>
              </w:rPr>
              <w:t>OIB:</w:t>
            </w:r>
            <w:r w:rsidRPr="00E529AA">
              <w:rPr>
                <w:rFonts w:asciiTheme="majorHAnsi" w:hAnsiTheme="majorHAnsi" w:cs="Open Sans"/>
                <w:spacing w:val="-3"/>
                <w:sz w:val="22"/>
                <w:szCs w:val="22"/>
              </w:rPr>
              <w:t xml:space="preserve"> 83101904488</w:t>
            </w:r>
          </w:p>
        </w:tc>
      </w:tr>
      <w:tr w:rsidR="00DF7760" w:rsidRPr="00D86047" w:rsidTr="00A0046E">
        <w:trPr>
          <w:trHeight w:val="882"/>
        </w:trPr>
        <w:tc>
          <w:tcPr>
            <w:tcW w:w="641" w:type="dxa"/>
            <w:vAlign w:val="center"/>
          </w:tcPr>
          <w:p w:rsidR="00DF7760" w:rsidRPr="00D86047" w:rsidRDefault="00DF7760" w:rsidP="00A0046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</w:p>
        </w:tc>
        <w:tc>
          <w:tcPr>
            <w:tcW w:w="5738" w:type="dxa"/>
            <w:vAlign w:val="center"/>
          </w:tcPr>
          <w:p w:rsidR="00DF7760" w:rsidRDefault="00DF7760" w:rsidP="00DF776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EKO- FLOR PLUS d.o.o.</w:t>
            </w:r>
          </w:p>
          <w:p w:rsidR="00DF7760" w:rsidRDefault="00DF7760" w:rsidP="00DF776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Mokrice 180/c</w:t>
            </w:r>
          </w:p>
          <w:p w:rsidR="00DF7760" w:rsidRDefault="00DF7760" w:rsidP="00DF776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49243 Oroslavje</w:t>
            </w:r>
          </w:p>
          <w:p w:rsidR="00DF7760" w:rsidRPr="00843960" w:rsidRDefault="00DF7760" w:rsidP="00DF776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OIB: 50730247993</w:t>
            </w:r>
          </w:p>
        </w:tc>
      </w:tr>
      <w:tr w:rsidR="00DF7760" w:rsidRPr="00D86047" w:rsidTr="00A0046E">
        <w:trPr>
          <w:trHeight w:val="882"/>
        </w:trPr>
        <w:tc>
          <w:tcPr>
            <w:tcW w:w="641" w:type="dxa"/>
            <w:vAlign w:val="center"/>
          </w:tcPr>
          <w:p w:rsidR="00DF7760" w:rsidRPr="00D86047" w:rsidRDefault="00DF7760" w:rsidP="00A0046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3.</w:t>
            </w:r>
          </w:p>
        </w:tc>
        <w:tc>
          <w:tcPr>
            <w:tcW w:w="5738" w:type="dxa"/>
            <w:vAlign w:val="center"/>
          </w:tcPr>
          <w:p w:rsidR="00DF7760" w:rsidRPr="00E529AA" w:rsidRDefault="00DF7760" w:rsidP="00DF7760">
            <w:pPr>
              <w:pStyle w:val="NoSpacing1"/>
              <w:rPr>
                <w:rFonts w:asciiTheme="majorHAnsi" w:hAnsiTheme="majorHAnsi" w:cs="Open Sans"/>
                <w:spacing w:val="-3"/>
                <w:sz w:val="22"/>
                <w:szCs w:val="22"/>
              </w:rPr>
            </w:pPr>
            <w:r w:rsidRPr="00E529AA">
              <w:rPr>
                <w:rFonts w:asciiTheme="majorHAnsi" w:hAnsiTheme="majorHAnsi" w:cs="Open Sans"/>
                <w:spacing w:val="-3"/>
                <w:sz w:val="22"/>
                <w:szCs w:val="22"/>
              </w:rPr>
              <w:t>STRUNJE</w:t>
            </w:r>
            <w:r>
              <w:rPr>
                <w:rFonts w:asciiTheme="majorHAnsi" w:hAnsiTheme="majorHAnsi" w:cs="Open Sans"/>
                <w:spacing w:val="-3"/>
                <w:sz w:val="22"/>
                <w:szCs w:val="22"/>
              </w:rPr>
              <w:t>-</w:t>
            </w:r>
            <w:r w:rsidRPr="00E529AA">
              <w:rPr>
                <w:rFonts w:asciiTheme="majorHAnsi" w:hAnsiTheme="majorHAnsi" w:cs="Open Sans"/>
                <w:spacing w:val="-3"/>
                <w:sz w:val="22"/>
                <w:szCs w:val="22"/>
              </w:rPr>
              <w:t xml:space="preserve"> TRADE d.o.o.</w:t>
            </w:r>
          </w:p>
          <w:p w:rsidR="00DF7760" w:rsidRPr="00E529AA" w:rsidRDefault="00DF7760" w:rsidP="00DF7760">
            <w:pPr>
              <w:pStyle w:val="NoSpacing1"/>
              <w:rPr>
                <w:rFonts w:asciiTheme="majorHAnsi" w:hAnsiTheme="majorHAnsi" w:cs="Open Sans"/>
                <w:spacing w:val="-3"/>
                <w:sz w:val="22"/>
                <w:szCs w:val="22"/>
              </w:rPr>
            </w:pPr>
            <w:r w:rsidRPr="00E529AA">
              <w:rPr>
                <w:rFonts w:asciiTheme="majorHAnsi" w:hAnsiTheme="majorHAnsi" w:cs="Open Sans"/>
                <w:spacing w:val="-3"/>
                <w:sz w:val="22"/>
                <w:szCs w:val="22"/>
              </w:rPr>
              <w:t>Bana Josipa Jelačića 11</w:t>
            </w:r>
          </w:p>
          <w:p w:rsidR="00DF7760" w:rsidRPr="00E529AA" w:rsidRDefault="00DF7760" w:rsidP="00DF7760">
            <w:pPr>
              <w:pStyle w:val="NoSpacing1"/>
              <w:rPr>
                <w:rFonts w:asciiTheme="majorHAnsi" w:hAnsiTheme="majorHAnsi" w:cs="Open Sans"/>
                <w:spacing w:val="-3"/>
                <w:sz w:val="22"/>
                <w:szCs w:val="22"/>
              </w:rPr>
            </w:pPr>
            <w:r w:rsidRPr="00E529AA">
              <w:rPr>
                <w:rFonts w:asciiTheme="majorHAnsi" w:hAnsiTheme="majorHAnsi" w:cs="Open Sans"/>
                <w:spacing w:val="-3"/>
                <w:sz w:val="22"/>
                <w:szCs w:val="22"/>
              </w:rPr>
              <w:t>32251 Privlaka</w:t>
            </w:r>
          </w:p>
          <w:p w:rsidR="00DF7760" w:rsidRPr="00D07C03" w:rsidRDefault="00DF7760" w:rsidP="00DF7760">
            <w:pPr>
              <w:pStyle w:val="NoSpacing1"/>
              <w:rPr>
                <w:rFonts w:asciiTheme="majorHAnsi" w:hAnsiTheme="majorHAnsi" w:cs="Open Sans"/>
                <w:spacing w:val="-3"/>
                <w:sz w:val="22"/>
                <w:szCs w:val="22"/>
              </w:rPr>
            </w:pPr>
            <w:r w:rsidRPr="00E529AA">
              <w:rPr>
                <w:rFonts w:asciiTheme="majorHAnsi" w:hAnsiTheme="majorHAnsi" w:cs="Open Sans"/>
                <w:spacing w:val="-3"/>
                <w:sz w:val="22"/>
                <w:szCs w:val="22"/>
              </w:rPr>
              <w:t xml:space="preserve">OIB: </w:t>
            </w:r>
            <w:r w:rsidRPr="00E529AA">
              <w:rPr>
                <w:rStyle w:val="st"/>
                <w:rFonts w:asciiTheme="majorHAnsi" w:hAnsiTheme="majorHAnsi"/>
                <w:sz w:val="22"/>
                <w:szCs w:val="22"/>
              </w:rPr>
              <w:t>97670986612</w:t>
            </w:r>
          </w:p>
        </w:tc>
      </w:tr>
    </w:tbl>
    <w:p w:rsidR="00312116" w:rsidRPr="00D86047" w:rsidRDefault="00312116" w:rsidP="00312116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F10DC2" w:rsidRPr="00775C9B" w:rsidRDefault="00F10DC2" w:rsidP="00F10DC2">
      <w:pPr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r w:rsidRPr="00775C9B">
        <w:rPr>
          <w:rFonts w:asciiTheme="majorHAnsi" w:hAnsiTheme="majorHAnsi" w:cs="Arial"/>
          <w:b/>
          <w:color w:val="000000"/>
        </w:rPr>
        <w:t>Ponude ponuditelja koje se odbijaju na osnovi rezultata pregleda i ocjene ponuda:</w:t>
      </w:r>
    </w:p>
    <w:p w:rsidR="00F10DC2" w:rsidRDefault="00F10DC2" w:rsidP="00F10DC2">
      <w:pPr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</w:p>
    <w:p w:rsidR="00F10DC2" w:rsidRPr="00D95FA0" w:rsidRDefault="00F10DC2" w:rsidP="00F10DC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r w:rsidRPr="00D95FA0">
        <w:rPr>
          <w:rFonts w:asciiTheme="majorHAnsi" w:hAnsiTheme="majorHAnsi" w:cs="Arial"/>
          <w:b/>
          <w:color w:val="000000"/>
        </w:rPr>
        <w:t xml:space="preserve">Odbija se ponuda ponuditelja </w:t>
      </w:r>
      <w:r w:rsidRPr="00D95FA0">
        <w:rPr>
          <w:rFonts w:asciiTheme="majorHAnsi" w:hAnsiTheme="majorHAnsi"/>
          <w:b/>
        </w:rPr>
        <w:t xml:space="preserve">KOMUNALAC d.o.o. iz Vukovara, Sajmište 174, OIB: </w:t>
      </w:r>
      <w:r w:rsidRPr="00D95FA0">
        <w:rPr>
          <w:rFonts w:asciiTheme="majorHAnsi" w:hAnsiTheme="majorHAnsi" w:cs="Open Sans"/>
          <w:b/>
          <w:spacing w:val="-3"/>
        </w:rPr>
        <w:t>83101904488.</w:t>
      </w:r>
    </w:p>
    <w:p w:rsidR="00F10DC2" w:rsidRDefault="00F10DC2" w:rsidP="00F10DC2">
      <w:pPr>
        <w:pStyle w:val="ListParagraph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</w:p>
    <w:p w:rsidR="00F10DC2" w:rsidRPr="004A5225" w:rsidRDefault="00F10DC2" w:rsidP="00F10DC2">
      <w:pPr>
        <w:pStyle w:val="ListParagraph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4A5225">
        <w:rPr>
          <w:rFonts w:asciiTheme="majorHAnsi" w:hAnsiTheme="majorHAnsi" w:cs="Arial"/>
          <w:color w:val="000000"/>
        </w:rPr>
        <w:t xml:space="preserve">Sukladno članku 24. Stavku 4. Zakona o koncesijama, Davatelj koncesije u postupku pregleda i ocjene ponuda rješenjem odbija  nevaljane ponude. Nevaljana ponuda je, sukladno stavku 6. Istog članka, </w:t>
      </w:r>
      <w:r w:rsidRPr="004A5225">
        <w:rPr>
          <w:rFonts w:asciiTheme="majorHAnsi" w:hAnsiTheme="majorHAnsi"/>
          <w:color w:val="000000"/>
        </w:rPr>
        <w:t xml:space="preserve">ponuda koja nije izrađena u skladu s dokumentacijom za nadmetanje, koja sadrži odredbe koje davatelj koncesije smatra štetnima ili za koju davatelj koncesije osnovano smatra da nije u skladu s pravilima poštenog tržišnog natjecanja, koja zbog formalnih ili drugih objektivnih razloga ne može biti odabrana (ponuda nije dostavljena u roku, ponuda ponuditelja koji ispunjava uvjete za isključenje određene dokumentacijom za nadmetanje, </w:t>
      </w:r>
      <w:r w:rsidRPr="004A5225">
        <w:rPr>
          <w:rFonts w:asciiTheme="majorHAnsi" w:hAnsiTheme="majorHAnsi"/>
          <w:color w:val="000000"/>
          <w:u w:val="single"/>
        </w:rPr>
        <w:t>ponuda ponuditelja koji nije dokazao svoju sposobnost u skladu s dokumentacijom za nadmetanje</w:t>
      </w:r>
      <w:r w:rsidRPr="004A5225">
        <w:rPr>
          <w:rFonts w:asciiTheme="majorHAnsi" w:hAnsiTheme="majorHAnsi"/>
          <w:color w:val="000000"/>
        </w:rPr>
        <w:t>, ponuda kojoj nedostaje jamstvo za ozbiljnost ponude, koja ne odgovara potrebama davatelja koncesije određenim u opisu predmeta koncesije i tehničkim specifikacijama, odnosno kojom se nude usluge i/ili radovi koji očito ne zadovoljavaju potrebe davatelja koncesije u odnosu na predmet koncesije i/ili uvjete obavljanja djelatnosti koja je predmet koncesije). Ponuditelj nije dokazao financijsku i tehničku i stručnu  sposobnost sukladno zahtjevima iz točaka 4.2.1. i 4.3.1. Dokumentacije za nadmetanje.</w:t>
      </w:r>
    </w:p>
    <w:p w:rsidR="00F10DC2" w:rsidRDefault="00F10DC2" w:rsidP="00312116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312116" w:rsidRPr="00F10DC2" w:rsidRDefault="00FE4437" w:rsidP="00312116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10DC2">
        <w:rPr>
          <w:rFonts w:asciiTheme="majorHAnsi" w:hAnsiTheme="majorHAnsi" w:cstheme="minorHAnsi"/>
        </w:rPr>
        <w:t xml:space="preserve">Stručno povjerenstvo za </w:t>
      </w:r>
      <w:r w:rsidR="00C06950" w:rsidRPr="00F10DC2">
        <w:rPr>
          <w:rFonts w:asciiTheme="majorHAnsi" w:hAnsiTheme="majorHAnsi" w:cstheme="minorHAnsi"/>
        </w:rPr>
        <w:t xml:space="preserve">postupak davanja </w:t>
      </w:r>
      <w:r w:rsidRPr="00F10DC2">
        <w:rPr>
          <w:rFonts w:asciiTheme="majorHAnsi" w:hAnsiTheme="majorHAnsi" w:cstheme="minorHAnsi"/>
        </w:rPr>
        <w:t>koncesije (u daljnjem tekstu: Stručno</w:t>
      </w:r>
      <w:r w:rsidR="00357E5D" w:rsidRPr="00F10DC2">
        <w:rPr>
          <w:rFonts w:asciiTheme="majorHAnsi" w:hAnsiTheme="majorHAnsi" w:cstheme="minorHAnsi"/>
        </w:rPr>
        <w:t xml:space="preserve"> povjerenstvo) utvrdilo je da</w:t>
      </w:r>
      <w:r w:rsidRPr="00F10DC2">
        <w:rPr>
          <w:rFonts w:asciiTheme="majorHAnsi" w:hAnsiTheme="majorHAnsi" w:cstheme="minorHAnsi"/>
        </w:rPr>
        <w:t xml:space="preserve"> ponuda </w:t>
      </w:r>
      <w:r w:rsidR="00C06950" w:rsidRPr="00F10DC2">
        <w:rPr>
          <w:rFonts w:asciiTheme="majorHAnsi" w:hAnsiTheme="majorHAnsi" w:cstheme="minorHAnsi"/>
        </w:rPr>
        <w:t xml:space="preserve">ponuditelja </w:t>
      </w:r>
      <w:r w:rsidR="00DF7760" w:rsidRPr="00F10DC2">
        <w:rPr>
          <w:rFonts w:asciiTheme="majorHAnsi" w:hAnsiTheme="majorHAnsi" w:cs="Arial"/>
          <w:b/>
        </w:rPr>
        <w:t>STRUNJE- TRADE d.o.o. iz Privlake, Bana Josipa jelačića 11,</w:t>
      </w:r>
      <w:r w:rsidR="00DF7760" w:rsidRPr="00F10DC2">
        <w:rPr>
          <w:rFonts w:asciiTheme="majorHAnsi" w:hAnsiTheme="majorHAnsi" w:cs="Calibri"/>
          <w:b/>
        </w:rPr>
        <w:t xml:space="preserve"> OIB: </w:t>
      </w:r>
      <w:r w:rsidR="00DF7760" w:rsidRPr="00F10DC2">
        <w:rPr>
          <w:rStyle w:val="st"/>
          <w:rFonts w:asciiTheme="majorHAnsi" w:hAnsiTheme="majorHAnsi"/>
          <w:b/>
        </w:rPr>
        <w:t>97670986612</w:t>
      </w:r>
      <w:r w:rsidR="002A1E29" w:rsidRPr="00F10DC2">
        <w:rPr>
          <w:rFonts w:asciiTheme="majorHAnsi" w:hAnsiTheme="majorHAnsi"/>
          <w:bCs/>
        </w:rPr>
        <w:t xml:space="preserve">, </w:t>
      </w:r>
      <w:r w:rsidR="00CE59AA" w:rsidRPr="00F10DC2">
        <w:rPr>
          <w:rFonts w:asciiTheme="majorHAnsi" w:hAnsiTheme="majorHAnsi" w:cstheme="minorHAnsi"/>
        </w:rPr>
        <w:t xml:space="preserve">valjana, </w:t>
      </w:r>
      <w:r w:rsidR="00CE59AA" w:rsidRPr="00F10DC2">
        <w:rPr>
          <w:rFonts w:asciiTheme="majorHAnsi" w:hAnsiTheme="majorHAnsi" w:cs="Arial"/>
        </w:rPr>
        <w:t>prikladna i pravilna ponuda sposobnog ponuditelja sukladno kriteriju ekonomski najpovoljnije ponude sukladno članku 25. stavku 1. točki 1. Zakona o koncesijama</w:t>
      </w:r>
      <w:r w:rsidR="00A0046E" w:rsidRPr="00F10DC2">
        <w:rPr>
          <w:rFonts w:asciiTheme="majorHAnsi" w:hAnsiTheme="majorHAnsi" w:cs="Arial"/>
        </w:rPr>
        <w:t>.</w:t>
      </w:r>
    </w:p>
    <w:p w:rsidR="00FE4437" w:rsidRPr="00F10DC2" w:rsidRDefault="00C06950" w:rsidP="00312116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10DC2">
        <w:rPr>
          <w:rFonts w:asciiTheme="majorHAnsi" w:hAnsiTheme="majorHAnsi" w:cstheme="minorHAnsi"/>
        </w:rPr>
        <w:t>Stručno povjerenstvo stoga p</w:t>
      </w:r>
      <w:r w:rsidR="00FE4437" w:rsidRPr="00F10DC2">
        <w:rPr>
          <w:rFonts w:asciiTheme="majorHAnsi" w:hAnsiTheme="majorHAnsi" w:cstheme="minorHAnsi"/>
        </w:rPr>
        <w:t xml:space="preserve">redlaže da </w:t>
      </w:r>
      <w:r w:rsidRPr="00F10DC2">
        <w:rPr>
          <w:rFonts w:asciiTheme="majorHAnsi" w:hAnsiTheme="majorHAnsi" w:cstheme="minorHAnsi"/>
        </w:rPr>
        <w:t>Općinsko vijeće pozivom na člana</w:t>
      </w:r>
      <w:r w:rsidR="00CE59AA" w:rsidRPr="00F10DC2">
        <w:rPr>
          <w:rFonts w:asciiTheme="majorHAnsi" w:hAnsiTheme="majorHAnsi" w:cstheme="minorHAnsi"/>
        </w:rPr>
        <w:t xml:space="preserve">k 26. </w:t>
      </w:r>
      <w:r w:rsidR="00FE4437" w:rsidRPr="00F10DC2">
        <w:rPr>
          <w:rFonts w:asciiTheme="majorHAnsi" w:hAnsiTheme="majorHAnsi" w:cstheme="minorHAnsi"/>
        </w:rPr>
        <w:t xml:space="preserve">Zakona o koncesijama donese odluku o </w:t>
      </w:r>
      <w:r w:rsidR="00CE59AA" w:rsidRPr="00F10DC2">
        <w:rPr>
          <w:rFonts w:asciiTheme="majorHAnsi" w:hAnsiTheme="majorHAnsi" w:cstheme="minorHAnsi"/>
        </w:rPr>
        <w:t>davanju</w:t>
      </w:r>
      <w:r w:rsidR="00FE4437" w:rsidRPr="00F10DC2">
        <w:rPr>
          <w:rFonts w:asciiTheme="majorHAnsi" w:hAnsiTheme="majorHAnsi" w:cstheme="minorHAnsi"/>
        </w:rPr>
        <w:t xml:space="preserve"> </w:t>
      </w:r>
      <w:r w:rsidR="0009179C" w:rsidRPr="00F10DC2">
        <w:rPr>
          <w:rFonts w:asciiTheme="majorHAnsi" w:hAnsiTheme="majorHAnsi" w:cstheme="minorHAnsi"/>
        </w:rPr>
        <w:t>koncesije za obavljanje j</w:t>
      </w:r>
      <w:r w:rsidR="0009179C" w:rsidRPr="00F10DC2">
        <w:rPr>
          <w:rStyle w:val="Hyperlink"/>
          <w:rFonts w:asciiTheme="majorHAnsi" w:hAnsiTheme="majorHAnsi"/>
          <w:color w:val="auto"/>
          <w:sz w:val="22"/>
          <w:u w:val="none"/>
        </w:rPr>
        <w:t>avne usluge prikupljanja, odvoza i zbrinjavanja miješanog komunalnog otpada, biorazgradivog komunalnog otpada i odvojeno skupljenih frakcija komunalnog otpada s područja Općine Tovarnik.</w:t>
      </w:r>
    </w:p>
    <w:p w:rsidR="00E95848" w:rsidRPr="00292A4D" w:rsidRDefault="00E95848" w:rsidP="00312116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E95848" w:rsidRPr="00292A4D" w:rsidRDefault="00E95848" w:rsidP="00312116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92A4D">
        <w:rPr>
          <w:rFonts w:asciiTheme="majorHAnsi" w:hAnsiTheme="majorHAnsi" w:cstheme="minorHAnsi"/>
          <w:b/>
        </w:rPr>
        <w:t>Razlozi za odabir najpovoljnijeg ponuditelja:</w:t>
      </w:r>
    </w:p>
    <w:p w:rsidR="00E95848" w:rsidRPr="002752E5" w:rsidRDefault="00E95848" w:rsidP="00E95848">
      <w:pPr>
        <w:spacing w:after="0" w:line="240" w:lineRule="auto"/>
        <w:jc w:val="both"/>
        <w:rPr>
          <w:rFonts w:asciiTheme="majorHAnsi" w:hAnsiTheme="majorHAnsi" w:cs="Arial"/>
        </w:rPr>
      </w:pPr>
      <w:r w:rsidRPr="002752E5">
        <w:rPr>
          <w:rFonts w:asciiTheme="majorHAnsi" w:hAnsiTheme="majorHAnsi" w:cs="Arial"/>
        </w:rPr>
        <w:lastRenderedPageBreak/>
        <w:t xml:space="preserve">Prema uvjetima iz dokumentacije za nadmetanje, najpovoljnija ponuda je ekonomski najpovoljnija ponuda. Ocjenjivanje ponuda izvršeno je prema kriterijima, </w:t>
      </w:r>
      <w:r w:rsidRPr="002752E5">
        <w:rPr>
          <w:rFonts w:asciiTheme="majorHAnsi" w:hAnsiTheme="majorHAnsi"/>
        </w:rPr>
        <w:t>vezanih uz predmet koncesije, s razmjerima vrijednosti:</w:t>
      </w:r>
    </w:p>
    <w:p w:rsidR="00F10DC2" w:rsidRPr="00533D97" w:rsidRDefault="00F10DC2" w:rsidP="00F10DC2">
      <w:pPr>
        <w:pStyle w:val="ListParagraph"/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</w:rPr>
      </w:pPr>
      <w:r w:rsidRPr="00775C9B">
        <w:rPr>
          <w:rFonts w:asciiTheme="majorHAnsi" w:hAnsiTheme="majorHAnsi"/>
        </w:rPr>
        <w:t xml:space="preserve">cijena usluge za krajnje korisnike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33D97">
        <w:rPr>
          <w:rFonts w:asciiTheme="majorHAnsi" w:hAnsiTheme="majorHAnsi"/>
        </w:rPr>
        <w:tab/>
        <w:t>= 60%</w:t>
      </w:r>
    </w:p>
    <w:p w:rsidR="00F10DC2" w:rsidRPr="00775C9B" w:rsidRDefault="00F10DC2" w:rsidP="00F10DC2">
      <w:pPr>
        <w:pStyle w:val="ListParagraph"/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</w:rPr>
      </w:pPr>
      <w:r w:rsidRPr="00775C9B">
        <w:rPr>
          <w:rFonts w:asciiTheme="majorHAnsi" w:hAnsiTheme="majorHAnsi"/>
        </w:rPr>
        <w:t>najviša pon</w:t>
      </w:r>
      <w:r>
        <w:rPr>
          <w:rFonts w:asciiTheme="majorHAnsi" w:hAnsiTheme="majorHAnsi"/>
        </w:rPr>
        <w:t>uđena naknada za koncesiju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75C9B">
        <w:rPr>
          <w:rFonts w:asciiTheme="majorHAnsi" w:hAnsiTheme="majorHAnsi"/>
        </w:rPr>
        <w:t>= 40%</w:t>
      </w:r>
    </w:p>
    <w:p w:rsidR="00F10DC2" w:rsidRDefault="00F10DC2" w:rsidP="00E958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48583A" w:rsidRPr="002752E5" w:rsidRDefault="00E95848" w:rsidP="00E958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2752E5">
        <w:rPr>
          <w:rFonts w:asciiTheme="majorHAnsi" w:hAnsiTheme="majorHAnsi" w:cs="Arial"/>
        </w:rPr>
        <w:t>Nakon ocjenjivanja ponuda prema propisanim kriterijima, izvršeno je rangiranje valjanih ponuda, kako slijedi:</w:t>
      </w:r>
    </w:p>
    <w:p w:rsidR="00292A4D" w:rsidRPr="00D86047" w:rsidRDefault="00292A4D" w:rsidP="00292A4D">
      <w:pPr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tbl>
      <w:tblPr>
        <w:tblStyle w:val="LightList-Accent5"/>
        <w:tblW w:w="9347" w:type="dxa"/>
        <w:tblLayout w:type="fixed"/>
        <w:tblLook w:val="01E0" w:firstRow="1" w:lastRow="1" w:firstColumn="1" w:lastColumn="1" w:noHBand="0" w:noVBand="0"/>
      </w:tblPr>
      <w:tblGrid>
        <w:gridCol w:w="641"/>
        <w:gridCol w:w="641"/>
        <w:gridCol w:w="2830"/>
        <w:gridCol w:w="1745"/>
        <w:gridCol w:w="1745"/>
        <w:gridCol w:w="1745"/>
      </w:tblGrid>
      <w:tr w:rsidR="00F10DC2" w:rsidRPr="00415D8A" w:rsidTr="004F4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shd w:val="clear" w:color="auto" w:fill="D9D9D9" w:themeFill="background1" w:themeFillShade="D9"/>
            <w:vAlign w:val="center"/>
          </w:tcPr>
          <w:p w:rsidR="00F10DC2" w:rsidRPr="00292A4D" w:rsidRDefault="00F10DC2" w:rsidP="004F42D9">
            <w:pPr>
              <w:jc w:val="center"/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</w:pPr>
            <w:r w:rsidRPr="00292A4D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rang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  <w:shd w:val="clear" w:color="auto" w:fill="D9D9D9" w:themeFill="background1" w:themeFillShade="D9"/>
            <w:vAlign w:val="center"/>
          </w:tcPr>
          <w:p w:rsidR="00F10DC2" w:rsidRPr="00292A4D" w:rsidRDefault="00F10DC2" w:rsidP="004F42D9">
            <w:pPr>
              <w:jc w:val="center"/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</w:pPr>
            <w:r w:rsidRPr="00292A4D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r.</w:t>
            </w:r>
          </w:p>
          <w:p w:rsidR="00F10DC2" w:rsidRPr="00292A4D" w:rsidRDefault="00F10DC2" w:rsidP="004F42D9">
            <w:pPr>
              <w:jc w:val="center"/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</w:pPr>
            <w:r w:rsidRPr="00292A4D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br.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10DC2" w:rsidRPr="00292A4D" w:rsidRDefault="00F10DC2" w:rsidP="004F4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292A4D">
              <w:rPr>
                <w:rFonts w:asciiTheme="majorHAnsi" w:hAnsiTheme="majorHAnsi" w:cs="Arial"/>
                <w:color w:val="auto"/>
                <w:sz w:val="22"/>
                <w:szCs w:val="22"/>
              </w:rPr>
              <w:t>naziv, adresa, sjedište i OIB ponuditelja</w:t>
            </w:r>
          </w:p>
          <w:p w:rsidR="00F10DC2" w:rsidRPr="00292A4D" w:rsidRDefault="00F10DC2" w:rsidP="004F4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</w:pPr>
            <w:r w:rsidRPr="00292A4D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(ukoliko se radi o zajednici ponuditelja upisati naziv i sjedište svakog člana zajednice ponuditelja)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  <w:shd w:val="clear" w:color="auto" w:fill="D9D9D9" w:themeFill="background1" w:themeFillShade="D9"/>
            <w:vAlign w:val="center"/>
          </w:tcPr>
          <w:p w:rsidR="00F10DC2" w:rsidRPr="00775C9B" w:rsidRDefault="00F10DC2" w:rsidP="008F663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775C9B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Kriterij 1. </w:t>
            </w:r>
          </w:p>
          <w:p w:rsidR="00F10DC2" w:rsidRPr="00775C9B" w:rsidRDefault="00F10DC2" w:rsidP="008F663A">
            <w:pPr>
              <w:jc w:val="center"/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</w:pPr>
            <w:r w:rsidRPr="00775C9B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cijena usluge za krajnje korisnike</w:t>
            </w:r>
          </w:p>
        </w:tc>
        <w:tc>
          <w:tcPr>
            <w:tcW w:w="1745" w:type="dxa"/>
            <w:tcBorders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F10DC2" w:rsidRPr="00775C9B" w:rsidRDefault="00F10DC2" w:rsidP="008F6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775C9B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Kriterij 2. </w:t>
            </w:r>
          </w:p>
          <w:p w:rsidR="00F10DC2" w:rsidRPr="00775C9B" w:rsidRDefault="00F10DC2" w:rsidP="008F6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</w:pPr>
            <w:r w:rsidRPr="00775C9B">
              <w:rPr>
                <w:rFonts w:asciiTheme="majorHAnsi" w:hAnsiTheme="majorHAnsi" w:cs="Arial"/>
                <w:b w:val="0"/>
                <w:color w:val="auto"/>
                <w:sz w:val="22"/>
                <w:szCs w:val="22"/>
              </w:rPr>
              <w:t>Iznos ponuđene naknade za koncesiju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5" w:type="dxa"/>
            <w:tcBorders>
              <w:lef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F10DC2" w:rsidRPr="00835B36" w:rsidRDefault="00F10DC2" w:rsidP="008F663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835B36">
              <w:rPr>
                <w:rFonts w:asciiTheme="majorHAnsi" w:hAnsiTheme="majorHAnsi" w:cs="Arial"/>
                <w:color w:val="auto"/>
                <w:sz w:val="22"/>
                <w:szCs w:val="22"/>
              </w:rPr>
              <w:t>Ukupan broj bodova</w:t>
            </w:r>
          </w:p>
        </w:tc>
      </w:tr>
      <w:tr w:rsidR="00292A4D" w:rsidRPr="00D713BD" w:rsidTr="004F4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292A4D" w:rsidRPr="00292A4D" w:rsidRDefault="00292A4D" w:rsidP="004F42D9">
            <w:pPr>
              <w:jc w:val="center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292A4D">
              <w:rPr>
                <w:rFonts w:asciiTheme="majorHAnsi" w:hAnsiTheme="majorHAnsi" w:cs="Arial"/>
                <w:b w:val="0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292A4D" w:rsidRPr="00292A4D" w:rsidRDefault="00292A4D" w:rsidP="004F42D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292A4D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2830" w:type="dxa"/>
          </w:tcPr>
          <w:p w:rsidR="00292A4D" w:rsidRPr="00292A4D" w:rsidRDefault="00292A4D" w:rsidP="004F4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</w:rPr>
            </w:pPr>
            <w:r w:rsidRPr="00292A4D"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:rsidR="00292A4D" w:rsidRPr="00292A4D" w:rsidRDefault="00292A4D" w:rsidP="004F42D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292A4D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1745" w:type="dxa"/>
            <w:tcBorders>
              <w:right w:val="single" w:sz="4" w:space="0" w:color="00B0F0"/>
            </w:tcBorders>
          </w:tcPr>
          <w:p w:rsidR="00292A4D" w:rsidRPr="00292A4D" w:rsidRDefault="00292A4D" w:rsidP="004F4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</w:rPr>
            </w:pPr>
            <w:r w:rsidRPr="00292A4D"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5" w:type="dxa"/>
            <w:tcBorders>
              <w:left w:val="single" w:sz="4" w:space="0" w:color="00B0F0"/>
            </w:tcBorders>
          </w:tcPr>
          <w:p w:rsidR="00292A4D" w:rsidRPr="00292A4D" w:rsidRDefault="00292A4D" w:rsidP="004F42D9">
            <w:pPr>
              <w:jc w:val="center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292A4D">
              <w:rPr>
                <w:rFonts w:asciiTheme="majorHAnsi" w:hAnsiTheme="majorHAnsi" w:cs="Arial"/>
                <w:b w:val="0"/>
                <w:sz w:val="16"/>
                <w:szCs w:val="16"/>
              </w:rPr>
              <w:t>6</w:t>
            </w:r>
          </w:p>
        </w:tc>
      </w:tr>
      <w:tr w:rsidR="00F10DC2" w:rsidRPr="00D713BD" w:rsidTr="00406882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:rsidR="00F10DC2" w:rsidRPr="00775C9B" w:rsidRDefault="00F10DC2" w:rsidP="008F663A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  <w:vAlign w:val="center"/>
          </w:tcPr>
          <w:p w:rsidR="00F10DC2" w:rsidRPr="00910600" w:rsidRDefault="00F10DC2" w:rsidP="008F663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10600">
              <w:rPr>
                <w:rFonts w:asciiTheme="majorHAnsi" w:hAnsiTheme="maj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2830" w:type="dxa"/>
            <w:vAlign w:val="center"/>
          </w:tcPr>
          <w:p w:rsidR="00F10DC2" w:rsidRPr="00910600" w:rsidRDefault="00F10DC2" w:rsidP="008F663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pen Sans"/>
                <w:spacing w:val="-3"/>
                <w:sz w:val="22"/>
                <w:szCs w:val="22"/>
              </w:rPr>
            </w:pPr>
            <w:r w:rsidRPr="00910600">
              <w:rPr>
                <w:rFonts w:asciiTheme="majorHAnsi" w:hAnsiTheme="majorHAnsi" w:cs="Open Sans"/>
                <w:spacing w:val="-3"/>
                <w:sz w:val="22"/>
                <w:szCs w:val="22"/>
              </w:rPr>
              <w:t>STRUNJE- TRADE d.o.o.</w:t>
            </w:r>
          </w:p>
          <w:p w:rsidR="00F10DC2" w:rsidRPr="00910600" w:rsidRDefault="00F10DC2" w:rsidP="008F663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pen Sans"/>
                <w:spacing w:val="-3"/>
                <w:sz w:val="22"/>
                <w:szCs w:val="22"/>
              </w:rPr>
            </w:pPr>
            <w:r w:rsidRPr="00910600">
              <w:rPr>
                <w:rFonts w:asciiTheme="majorHAnsi" w:hAnsiTheme="majorHAnsi" w:cs="Open Sans"/>
                <w:spacing w:val="-3"/>
                <w:sz w:val="22"/>
                <w:szCs w:val="22"/>
              </w:rPr>
              <w:t>Bana Josipa Jelačića 11</w:t>
            </w:r>
          </w:p>
          <w:p w:rsidR="00F10DC2" w:rsidRPr="00910600" w:rsidRDefault="00F10DC2" w:rsidP="008F663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pen Sans"/>
                <w:spacing w:val="-3"/>
                <w:sz w:val="22"/>
                <w:szCs w:val="22"/>
              </w:rPr>
            </w:pPr>
            <w:r w:rsidRPr="00910600">
              <w:rPr>
                <w:rFonts w:asciiTheme="majorHAnsi" w:hAnsiTheme="majorHAnsi" w:cs="Open Sans"/>
                <w:spacing w:val="-3"/>
                <w:sz w:val="22"/>
                <w:szCs w:val="22"/>
              </w:rPr>
              <w:t>32251 Privlaka</w:t>
            </w:r>
          </w:p>
          <w:p w:rsidR="00F10DC2" w:rsidRPr="00910600" w:rsidRDefault="00F10DC2" w:rsidP="008F663A">
            <w:pPr>
              <w:pStyle w:val="NoSpac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pen Sans"/>
                <w:spacing w:val="-3"/>
                <w:sz w:val="22"/>
                <w:szCs w:val="22"/>
              </w:rPr>
            </w:pPr>
            <w:r w:rsidRPr="00910600">
              <w:rPr>
                <w:rFonts w:asciiTheme="majorHAnsi" w:hAnsiTheme="majorHAnsi" w:cs="Open Sans"/>
                <w:spacing w:val="-3"/>
                <w:sz w:val="22"/>
                <w:szCs w:val="22"/>
              </w:rPr>
              <w:t xml:space="preserve">OIB: </w:t>
            </w:r>
            <w:r w:rsidRPr="00910600">
              <w:rPr>
                <w:rStyle w:val="st"/>
                <w:rFonts w:asciiTheme="majorHAnsi" w:hAnsiTheme="majorHAnsi"/>
                <w:sz w:val="22"/>
                <w:szCs w:val="22"/>
              </w:rPr>
              <w:t>97670986612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  <w:vAlign w:val="center"/>
          </w:tcPr>
          <w:p w:rsidR="00F10DC2" w:rsidRPr="00910600" w:rsidRDefault="00F10DC2" w:rsidP="008F663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  <w:r w:rsidRPr="00910600">
              <w:rPr>
                <w:rFonts w:asciiTheme="majorHAnsi" w:hAnsiTheme="majorHAnsi" w:cs="Arial"/>
                <w:sz w:val="22"/>
                <w:szCs w:val="22"/>
              </w:rPr>
              <w:t>0,00</w:t>
            </w:r>
          </w:p>
        </w:tc>
        <w:tc>
          <w:tcPr>
            <w:tcW w:w="1745" w:type="dxa"/>
            <w:tcBorders>
              <w:right w:val="single" w:sz="4" w:space="0" w:color="00B0F0"/>
            </w:tcBorders>
            <w:vAlign w:val="center"/>
          </w:tcPr>
          <w:p w:rsidR="00F10DC2" w:rsidRPr="00910600" w:rsidRDefault="00F10DC2" w:rsidP="008F6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28,40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5" w:type="dxa"/>
            <w:tcBorders>
              <w:left w:val="single" w:sz="4" w:space="0" w:color="00B0F0"/>
            </w:tcBorders>
            <w:vAlign w:val="center"/>
          </w:tcPr>
          <w:p w:rsidR="00F10DC2" w:rsidRPr="00F10DC2" w:rsidRDefault="00F10DC2" w:rsidP="008F663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10DC2">
              <w:rPr>
                <w:rFonts w:asciiTheme="majorHAnsi" w:hAnsiTheme="majorHAnsi" w:cs="Arial"/>
                <w:sz w:val="22"/>
                <w:szCs w:val="22"/>
              </w:rPr>
              <w:t>88,40</w:t>
            </w:r>
          </w:p>
        </w:tc>
      </w:tr>
      <w:tr w:rsidR="00F10DC2" w:rsidRPr="00D713BD" w:rsidTr="00F10D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:rsidR="00F10DC2" w:rsidRPr="00775C9B" w:rsidRDefault="00F10DC2" w:rsidP="008F663A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  <w:vAlign w:val="center"/>
          </w:tcPr>
          <w:p w:rsidR="00F10DC2" w:rsidRPr="00910600" w:rsidRDefault="00F10DC2" w:rsidP="008F663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10600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2830" w:type="dxa"/>
            <w:vAlign w:val="center"/>
          </w:tcPr>
          <w:p w:rsidR="00F10DC2" w:rsidRPr="00910600" w:rsidRDefault="00F10DC2" w:rsidP="008F66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10600">
              <w:rPr>
                <w:rFonts w:asciiTheme="majorHAnsi" w:hAnsiTheme="majorHAnsi"/>
                <w:b w:val="0"/>
                <w:sz w:val="22"/>
                <w:szCs w:val="22"/>
              </w:rPr>
              <w:t>EKO- FLOR PLUS d.o.o.</w:t>
            </w:r>
          </w:p>
          <w:p w:rsidR="00F10DC2" w:rsidRPr="00910600" w:rsidRDefault="00F10DC2" w:rsidP="008F66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10600">
              <w:rPr>
                <w:rFonts w:asciiTheme="majorHAnsi" w:hAnsiTheme="majorHAnsi"/>
                <w:b w:val="0"/>
                <w:sz w:val="22"/>
                <w:szCs w:val="22"/>
              </w:rPr>
              <w:t>Mokrice 180/c</w:t>
            </w:r>
          </w:p>
          <w:p w:rsidR="00F10DC2" w:rsidRPr="00910600" w:rsidRDefault="00F10DC2" w:rsidP="008F66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10600">
              <w:rPr>
                <w:rFonts w:asciiTheme="majorHAnsi" w:hAnsiTheme="majorHAnsi"/>
                <w:b w:val="0"/>
                <w:sz w:val="22"/>
                <w:szCs w:val="22"/>
              </w:rPr>
              <w:t>49243 Oroslavje</w:t>
            </w:r>
          </w:p>
          <w:p w:rsidR="00F10DC2" w:rsidRPr="00910600" w:rsidRDefault="00F10DC2" w:rsidP="008F66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10600">
              <w:rPr>
                <w:rFonts w:asciiTheme="majorHAnsi" w:hAnsiTheme="majorHAnsi"/>
                <w:b w:val="0"/>
                <w:sz w:val="22"/>
                <w:szCs w:val="22"/>
              </w:rPr>
              <w:t>OIB: 50730247993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  <w:vAlign w:val="center"/>
          </w:tcPr>
          <w:p w:rsidR="00F10DC2" w:rsidRPr="004A5225" w:rsidRDefault="00F10DC2" w:rsidP="008F663A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4A5225">
              <w:rPr>
                <w:rFonts w:asciiTheme="majorHAnsi" w:hAnsiTheme="majorHAnsi" w:cs="Arial"/>
                <w:b w:val="0"/>
                <w:sz w:val="22"/>
                <w:szCs w:val="22"/>
              </w:rPr>
              <w:t>29,57</w:t>
            </w:r>
          </w:p>
        </w:tc>
        <w:tc>
          <w:tcPr>
            <w:tcW w:w="1745" w:type="dxa"/>
            <w:tcBorders>
              <w:right w:val="single" w:sz="4" w:space="0" w:color="00B0F0"/>
            </w:tcBorders>
            <w:vAlign w:val="center"/>
          </w:tcPr>
          <w:p w:rsidR="00F10DC2" w:rsidRPr="00910600" w:rsidRDefault="00F10DC2" w:rsidP="008F663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40</w:t>
            </w:r>
            <w:r w:rsidRPr="00910600">
              <w:rPr>
                <w:rFonts w:asciiTheme="majorHAnsi" w:hAnsiTheme="majorHAnsi" w:cs="Arial"/>
                <w:b w:val="0"/>
                <w:sz w:val="22"/>
                <w:szCs w:val="22"/>
              </w:rPr>
              <w:t>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5" w:type="dxa"/>
            <w:tcBorders>
              <w:left w:val="single" w:sz="4" w:space="0" w:color="00B0F0"/>
            </w:tcBorders>
            <w:vAlign w:val="center"/>
          </w:tcPr>
          <w:p w:rsidR="00F10DC2" w:rsidRPr="00F10DC2" w:rsidRDefault="00F10DC2" w:rsidP="008F663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10DC2">
              <w:rPr>
                <w:rFonts w:asciiTheme="majorHAnsi" w:hAnsiTheme="majorHAnsi" w:cs="Arial"/>
                <w:sz w:val="22"/>
                <w:szCs w:val="22"/>
              </w:rPr>
              <w:t>69,57</w:t>
            </w:r>
          </w:p>
        </w:tc>
      </w:tr>
    </w:tbl>
    <w:p w:rsidR="00A0046E" w:rsidRPr="00D86047" w:rsidRDefault="00A0046E" w:rsidP="00292A4D">
      <w:pPr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E95848" w:rsidRPr="00D86047" w:rsidRDefault="00E95848" w:rsidP="00366A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D86047">
        <w:rPr>
          <w:rFonts w:asciiTheme="majorHAnsi" w:hAnsiTheme="majorHAnsi" w:cs="Arial"/>
        </w:rPr>
        <w:t>Temeljem navedenog, a na prijedlog Stru</w:t>
      </w:r>
      <w:r w:rsidRPr="00D86047">
        <w:rPr>
          <w:rFonts w:asciiTheme="majorHAnsi" w:hAnsiTheme="majorHAnsi" w:cs="Times New Roman"/>
        </w:rPr>
        <w:t>č</w:t>
      </w:r>
      <w:r w:rsidRPr="00D86047">
        <w:rPr>
          <w:rFonts w:asciiTheme="majorHAnsi" w:hAnsiTheme="majorHAnsi" w:cs="Arial"/>
        </w:rPr>
        <w:t>nog povjerenstva, utvr</w:t>
      </w:r>
      <w:r w:rsidRPr="00D86047">
        <w:rPr>
          <w:rFonts w:asciiTheme="majorHAnsi" w:hAnsiTheme="majorHAnsi" w:cs="Times New Roman"/>
        </w:rPr>
        <w:t>đ</w:t>
      </w:r>
      <w:r w:rsidRPr="00D86047">
        <w:rPr>
          <w:rFonts w:asciiTheme="majorHAnsi" w:hAnsiTheme="majorHAnsi" w:cs="Arial"/>
        </w:rPr>
        <w:t>uje se da je najpovoljniji ponuditelj</w:t>
      </w:r>
      <w:r w:rsidR="00366A2B" w:rsidRPr="00D86047">
        <w:rPr>
          <w:rFonts w:asciiTheme="majorHAnsi" w:hAnsiTheme="majorHAnsi" w:cs="Arial"/>
        </w:rPr>
        <w:t xml:space="preserve"> </w:t>
      </w:r>
      <w:r w:rsidR="00F10DC2" w:rsidRPr="00F10DC2">
        <w:rPr>
          <w:rFonts w:asciiTheme="majorHAnsi" w:hAnsiTheme="majorHAnsi" w:cs="Arial"/>
          <w:b/>
        </w:rPr>
        <w:t>STRUNJE- TRADE d.o.o. iz Privlake, Bana Josipa jelačića 11,</w:t>
      </w:r>
      <w:r w:rsidR="00F10DC2" w:rsidRPr="00F10DC2">
        <w:rPr>
          <w:rFonts w:asciiTheme="majorHAnsi" w:hAnsiTheme="majorHAnsi" w:cs="Calibri"/>
          <w:b/>
        </w:rPr>
        <w:t xml:space="preserve"> OIB: </w:t>
      </w:r>
      <w:r w:rsidR="00F10DC2" w:rsidRPr="00F10DC2">
        <w:rPr>
          <w:rStyle w:val="st"/>
          <w:rFonts w:asciiTheme="majorHAnsi" w:hAnsiTheme="majorHAnsi"/>
          <w:b/>
        </w:rPr>
        <w:t>97670986612</w:t>
      </w:r>
      <w:r w:rsidR="00F10DC2" w:rsidRPr="00F10DC2">
        <w:rPr>
          <w:rFonts w:asciiTheme="majorHAnsi" w:hAnsiTheme="majorHAnsi"/>
          <w:bCs/>
        </w:rPr>
        <w:t xml:space="preserve">, </w:t>
      </w:r>
      <w:r w:rsidRPr="00D86047">
        <w:rPr>
          <w:rFonts w:asciiTheme="majorHAnsi" w:hAnsiTheme="majorHAnsi" w:cs="Arial"/>
        </w:rPr>
        <w:t>pa je stoga odlu</w:t>
      </w:r>
      <w:r w:rsidRPr="00D86047">
        <w:rPr>
          <w:rFonts w:asciiTheme="majorHAnsi" w:hAnsiTheme="majorHAnsi" w:cs="Times New Roman"/>
        </w:rPr>
        <w:t>č</w:t>
      </w:r>
      <w:r w:rsidRPr="00D86047">
        <w:rPr>
          <w:rFonts w:asciiTheme="majorHAnsi" w:hAnsiTheme="majorHAnsi" w:cs="Arial"/>
        </w:rPr>
        <w:t>eno kao u izreci ove Odluke.</w:t>
      </w:r>
    </w:p>
    <w:p w:rsidR="00C06950" w:rsidRPr="00D86047" w:rsidRDefault="00C06950" w:rsidP="00312116">
      <w:pPr>
        <w:spacing w:after="0" w:line="240" w:lineRule="auto"/>
        <w:jc w:val="both"/>
        <w:rPr>
          <w:rFonts w:asciiTheme="majorHAnsi" w:hAnsiTheme="majorHAnsi"/>
        </w:rPr>
      </w:pPr>
    </w:p>
    <w:p w:rsidR="00FE4437" w:rsidRPr="00D86047" w:rsidRDefault="00FE4437" w:rsidP="00312116">
      <w:pPr>
        <w:spacing w:after="0" w:line="240" w:lineRule="auto"/>
        <w:jc w:val="both"/>
        <w:rPr>
          <w:rFonts w:asciiTheme="majorHAnsi" w:hAnsiTheme="majorHAnsi"/>
          <w:b/>
        </w:rPr>
      </w:pPr>
      <w:r w:rsidRPr="00D86047">
        <w:rPr>
          <w:rFonts w:asciiTheme="majorHAnsi" w:hAnsiTheme="majorHAnsi"/>
          <w:b/>
        </w:rPr>
        <w:t>UPUTA O PRAVNOM LIJEKU:</w:t>
      </w:r>
    </w:p>
    <w:p w:rsidR="00FE4437" w:rsidRPr="00D86047" w:rsidRDefault="00FE4437" w:rsidP="00312116">
      <w:pPr>
        <w:spacing w:after="0" w:line="240" w:lineRule="auto"/>
        <w:jc w:val="both"/>
        <w:rPr>
          <w:rFonts w:asciiTheme="majorHAnsi" w:hAnsiTheme="majorHAnsi"/>
        </w:rPr>
      </w:pPr>
      <w:r w:rsidRPr="00D86047">
        <w:rPr>
          <w:rFonts w:asciiTheme="majorHAnsi" w:hAnsiTheme="majorHAnsi"/>
        </w:rPr>
        <w:t>Protiv ove Odluke mož</w:t>
      </w:r>
      <w:r w:rsidR="00A0046E" w:rsidRPr="00D86047">
        <w:rPr>
          <w:rFonts w:asciiTheme="majorHAnsi" w:hAnsiTheme="majorHAnsi"/>
        </w:rPr>
        <w:t>e se izjaviti žalba u roku od 5 (p</w:t>
      </w:r>
      <w:r w:rsidRPr="00D86047">
        <w:rPr>
          <w:rFonts w:asciiTheme="majorHAnsi" w:hAnsiTheme="majorHAnsi"/>
        </w:rPr>
        <w:t>et) d</w:t>
      </w:r>
      <w:r w:rsidR="000436E5" w:rsidRPr="00D86047">
        <w:rPr>
          <w:rFonts w:asciiTheme="majorHAnsi" w:hAnsiTheme="majorHAnsi"/>
        </w:rPr>
        <w:t>ana od dana primitka ove Odluke,</w:t>
      </w:r>
      <w:r w:rsidR="007F75ED" w:rsidRPr="00D86047">
        <w:rPr>
          <w:rFonts w:asciiTheme="majorHAnsi" w:hAnsiTheme="majorHAnsi"/>
        </w:rPr>
        <w:t xml:space="preserve"> </w:t>
      </w:r>
      <w:r w:rsidR="000436E5" w:rsidRPr="00D86047">
        <w:rPr>
          <w:rFonts w:asciiTheme="majorHAnsi" w:hAnsiTheme="majorHAnsi"/>
          <w:color w:val="000000"/>
        </w:rPr>
        <w:t>a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="000436E5" w:rsidRPr="00D86047">
        <w:rPr>
          <w:rFonts w:asciiTheme="majorHAnsi" w:hAnsiTheme="majorHAnsi"/>
          <w:color w:val="000000"/>
        </w:rPr>
        <w:t>dostavlja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="000436E5" w:rsidRPr="00D86047">
        <w:rPr>
          <w:rFonts w:asciiTheme="majorHAnsi" w:hAnsiTheme="majorHAnsi"/>
          <w:color w:val="000000"/>
        </w:rPr>
        <w:t>se</w:t>
      </w:r>
      <w:r w:rsidR="007F75ED" w:rsidRPr="00D86047">
        <w:rPr>
          <w:rFonts w:asciiTheme="majorHAnsi" w:hAnsiTheme="majorHAnsi"/>
          <w:color w:val="000000"/>
        </w:rPr>
        <w:t xml:space="preserve">  </w:t>
      </w:r>
      <w:r w:rsidR="000436E5" w:rsidRPr="00D86047">
        <w:rPr>
          <w:rFonts w:asciiTheme="majorHAnsi" w:hAnsiTheme="majorHAnsi"/>
          <w:color w:val="000000"/>
        </w:rPr>
        <w:t>neposredno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="000436E5" w:rsidRPr="00D86047">
        <w:rPr>
          <w:rFonts w:asciiTheme="majorHAnsi" w:hAnsiTheme="majorHAnsi"/>
          <w:color w:val="000000"/>
        </w:rPr>
        <w:t>ili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="000436E5" w:rsidRPr="00D86047">
        <w:rPr>
          <w:rFonts w:asciiTheme="majorHAnsi" w:hAnsiTheme="majorHAnsi"/>
          <w:color w:val="000000"/>
        </w:rPr>
        <w:t>putem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="000436E5" w:rsidRPr="00D86047">
        <w:rPr>
          <w:rFonts w:asciiTheme="majorHAnsi" w:hAnsiTheme="majorHAnsi"/>
          <w:color w:val="000000"/>
        </w:rPr>
        <w:t>pošte, preporučeno.</w:t>
      </w:r>
    </w:p>
    <w:p w:rsidR="00E60B2F" w:rsidRPr="00D86047" w:rsidRDefault="000436E5" w:rsidP="00312116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D86047">
        <w:rPr>
          <w:rFonts w:asciiTheme="majorHAnsi" w:hAnsiTheme="majorHAnsi"/>
          <w:color w:val="000000"/>
        </w:rPr>
        <w:t>Žalba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se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izjavljuje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u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pisanom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obliku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Državnoj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komisiji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za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kontrolu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postupaka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javne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nabave, Koturaška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cesta 43/IV, 10000 Zagreb. Istodobno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s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dostavljanjem žalbe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Državnoj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komisiji, žalitelj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je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obvezan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primjerak žalbe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dostaviti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i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davatelju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koncesije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na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dokaziv</w:t>
      </w:r>
      <w:r w:rsidR="007F75ED" w:rsidRPr="00D86047">
        <w:rPr>
          <w:rFonts w:asciiTheme="majorHAnsi" w:hAnsiTheme="majorHAnsi"/>
          <w:color w:val="000000"/>
        </w:rPr>
        <w:t xml:space="preserve"> </w:t>
      </w:r>
      <w:r w:rsidRPr="00D86047">
        <w:rPr>
          <w:rFonts w:asciiTheme="majorHAnsi" w:hAnsiTheme="majorHAnsi"/>
          <w:color w:val="000000"/>
        </w:rPr>
        <w:t>način.</w:t>
      </w:r>
    </w:p>
    <w:p w:rsidR="00366A2B" w:rsidRPr="00D86047" w:rsidRDefault="00366A2B" w:rsidP="00312116">
      <w:pPr>
        <w:spacing w:after="0" w:line="240" w:lineRule="auto"/>
        <w:jc w:val="both"/>
        <w:rPr>
          <w:rFonts w:asciiTheme="majorHAnsi" w:hAnsiTheme="majorHAnsi"/>
        </w:rPr>
      </w:pPr>
    </w:p>
    <w:p w:rsidR="00C06950" w:rsidRPr="00D86047" w:rsidRDefault="00C06950" w:rsidP="00312116">
      <w:pPr>
        <w:spacing w:after="0" w:line="240" w:lineRule="auto"/>
        <w:jc w:val="both"/>
        <w:rPr>
          <w:rFonts w:asciiTheme="majorHAnsi" w:hAnsiTheme="majorHAnsi"/>
          <w:i/>
          <w:iCs/>
        </w:rPr>
      </w:pPr>
    </w:p>
    <w:p w:rsidR="00366A2B" w:rsidRDefault="00366A2B" w:rsidP="00312116">
      <w:pPr>
        <w:spacing w:after="0" w:line="240" w:lineRule="auto"/>
        <w:jc w:val="right"/>
        <w:rPr>
          <w:rFonts w:asciiTheme="majorHAnsi" w:hAnsiTheme="majorHAnsi"/>
          <w:iCs/>
        </w:rPr>
      </w:pPr>
      <w:r w:rsidRPr="00D86047">
        <w:rPr>
          <w:rFonts w:asciiTheme="majorHAnsi" w:hAnsiTheme="majorHAnsi"/>
          <w:iCs/>
        </w:rPr>
        <w:t>PREDSJEDNIK</w:t>
      </w:r>
      <w:r w:rsidR="000F747F">
        <w:rPr>
          <w:rFonts w:asciiTheme="majorHAnsi" w:hAnsiTheme="majorHAnsi"/>
          <w:iCs/>
        </w:rPr>
        <w:t xml:space="preserve"> OPĆINSKOG VIJEĆA</w:t>
      </w:r>
    </w:p>
    <w:p w:rsidR="000F747F" w:rsidRDefault="000F747F" w:rsidP="000F747F">
      <w:pPr>
        <w:spacing w:after="0" w:line="240" w:lineRule="auto"/>
        <w:jc w:val="center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                                                                                                         OPĆINE TOVARNIK</w:t>
      </w:r>
    </w:p>
    <w:p w:rsidR="000F747F" w:rsidRDefault="000F747F" w:rsidP="000F747F">
      <w:pPr>
        <w:spacing w:after="0" w:line="240" w:lineRule="auto"/>
        <w:jc w:val="center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                                                                                                           Marinko Beljo</w:t>
      </w:r>
    </w:p>
    <w:p w:rsidR="000F747F" w:rsidRDefault="000F747F" w:rsidP="00312116">
      <w:pPr>
        <w:spacing w:after="0" w:line="240" w:lineRule="auto"/>
        <w:jc w:val="right"/>
        <w:rPr>
          <w:rFonts w:asciiTheme="majorHAnsi" w:hAnsiTheme="majorHAnsi"/>
          <w:iCs/>
        </w:rPr>
      </w:pPr>
    </w:p>
    <w:p w:rsidR="000F747F" w:rsidRPr="00D86047" w:rsidRDefault="000F747F" w:rsidP="00312116">
      <w:pPr>
        <w:spacing w:after="0" w:line="240" w:lineRule="auto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_________________________________________ </w:t>
      </w:r>
    </w:p>
    <w:p w:rsidR="004C2743" w:rsidRPr="004C2743" w:rsidRDefault="004C2743" w:rsidP="00312116">
      <w:pPr>
        <w:spacing w:after="0" w:line="240" w:lineRule="auto"/>
        <w:jc w:val="right"/>
        <w:rPr>
          <w:b/>
        </w:rPr>
      </w:pPr>
    </w:p>
    <w:sectPr w:rsidR="004C2743" w:rsidRPr="004C2743" w:rsidSect="00A0046E"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74" w:rsidRDefault="003E0A74" w:rsidP="00DC09C7">
      <w:pPr>
        <w:spacing w:after="0" w:line="240" w:lineRule="auto"/>
      </w:pPr>
      <w:r>
        <w:separator/>
      </w:r>
    </w:p>
  </w:endnote>
  <w:endnote w:type="continuationSeparator" w:id="0">
    <w:p w:rsidR="003E0A74" w:rsidRDefault="003E0A74" w:rsidP="00DC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TE1EED94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76297"/>
      <w:docPartObj>
        <w:docPartGallery w:val="Page Numbers (Bottom of Page)"/>
        <w:docPartUnique/>
      </w:docPartObj>
    </w:sdtPr>
    <w:sdtEndPr/>
    <w:sdtContent>
      <w:p w:rsidR="00DC09C7" w:rsidRDefault="00D77DF5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09C7" w:rsidRDefault="00D77DF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D77DF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DnUA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QY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DC09C7" w:rsidRDefault="00D77DF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77DF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xMMAAADaAAAADwAAAGRycy9kb3ducmV2LnhtbESPzWrDMBCE74W8g9hAL6GW40Ma3Cih&#10;MRTSY35MyG2xtraJtTKSartvXwUKPQ4z8w2z2U2mEwM531pWsExSEMSV1S3XCi7nj5c1CB+QNXaW&#10;ScEPedhtZ08bzLUd+UjDKdQiQtjnqKAJoc+l9FVDBn1ie+LofVlnMETpaqkdjhFuOpml6UoabDku&#10;NNhT0VB1P30bBQu9KDNbHO7nq/ssh4zcen97Vep5Pr2/gQg0hf/wX/ugFazgcSXe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AsTDAAAA2gAAAA8AAAAAAAAAAAAA&#10;AAAAoQIAAGRycy9kb3ducmV2LnhtbFBLBQYAAAAABAAEAPkAAACRAwAAAAA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74" w:rsidRDefault="003E0A74" w:rsidP="00DC09C7">
      <w:pPr>
        <w:spacing w:after="0" w:line="240" w:lineRule="auto"/>
      </w:pPr>
      <w:r>
        <w:separator/>
      </w:r>
    </w:p>
  </w:footnote>
  <w:footnote w:type="continuationSeparator" w:id="0">
    <w:p w:rsidR="003E0A74" w:rsidRDefault="003E0A74" w:rsidP="00DC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071"/>
    <w:multiLevelType w:val="hybridMultilevel"/>
    <w:tmpl w:val="19B0E5C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00FDD"/>
    <w:multiLevelType w:val="hybridMultilevel"/>
    <w:tmpl w:val="3D147832"/>
    <w:lvl w:ilvl="0" w:tplc="AE06CB9C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7C4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905F6"/>
    <w:multiLevelType w:val="hybridMultilevel"/>
    <w:tmpl w:val="DC66F77A"/>
    <w:lvl w:ilvl="0" w:tplc="559478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D30A7"/>
    <w:multiLevelType w:val="hybridMultilevel"/>
    <w:tmpl w:val="35AEC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5B76"/>
    <w:multiLevelType w:val="hybridMultilevel"/>
    <w:tmpl w:val="034607E4"/>
    <w:lvl w:ilvl="0" w:tplc="559478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8D68C2"/>
    <w:multiLevelType w:val="hybridMultilevel"/>
    <w:tmpl w:val="33E8B90E"/>
    <w:lvl w:ilvl="0" w:tplc="7AF0E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E0A06"/>
    <w:multiLevelType w:val="multilevel"/>
    <w:tmpl w:val="4A10B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3E4FA7"/>
    <w:multiLevelType w:val="multilevel"/>
    <w:tmpl w:val="131C6F5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9"/>
        </w:tabs>
        <w:ind w:left="32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40165A3"/>
    <w:multiLevelType w:val="multilevel"/>
    <w:tmpl w:val="B49AF26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5F1ED7"/>
    <w:multiLevelType w:val="hybridMultilevel"/>
    <w:tmpl w:val="BAC8023C"/>
    <w:lvl w:ilvl="0" w:tplc="559478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D86E58"/>
    <w:multiLevelType w:val="hybridMultilevel"/>
    <w:tmpl w:val="F3DA7E8A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0C1D36"/>
    <w:multiLevelType w:val="hybridMultilevel"/>
    <w:tmpl w:val="34A04D92"/>
    <w:lvl w:ilvl="0" w:tplc="EF44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E188E"/>
    <w:multiLevelType w:val="multilevel"/>
    <w:tmpl w:val="6D586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DE04BE5"/>
    <w:multiLevelType w:val="hybridMultilevel"/>
    <w:tmpl w:val="BE92968A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5073C3"/>
    <w:multiLevelType w:val="hybridMultilevel"/>
    <w:tmpl w:val="2C5406C2"/>
    <w:lvl w:ilvl="0" w:tplc="7AF0E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5"/>
    <o:shapelayout v:ext="edit"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7"/>
    <w:rsid w:val="000436E5"/>
    <w:rsid w:val="00043C33"/>
    <w:rsid w:val="00050EE5"/>
    <w:rsid w:val="000537AD"/>
    <w:rsid w:val="00057155"/>
    <w:rsid w:val="0006518B"/>
    <w:rsid w:val="0009179C"/>
    <w:rsid w:val="000E4C96"/>
    <w:rsid w:val="000F747F"/>
    <w:rsid w:val="001456C0"/>
    <w:rsid w:val="001474A9"/>
    <w:rsid w:val="00173041"/>
    <w:rsid w:val="001A15AC"/>
    <w:rsid w:val="001A38A4"/>
    <w:rsid w:val="00213D9E"/>
    <w:rsid w:val="00225234"/>
    <w:rsid w:val="00257E4C"/>
    <w:rsid w:val="002752E5"/>
    <w:rsid w:val="00292A4D"/>
    <w:rsid w:val="002A1E29"/>
    <w:rsid w:val="002F08BA"/>
    <w:rsid w:val="002F15DE"/>
    <w:rsid w:val="002F4D43"/>
    <w:rsid w:val="00312116"/>
    <w:rsid w:val="00355822"/>
    <w:rsid w:val="00356834"/>
    <w:rsid w:val="00357E5D"/>
    <w:rsid w:val="00366A2B"/>
    <w:rsid w:val="003E0A74"/>
    <w:rsid w:val="00425440"/>
    <w:rsid w:val="00455E51"/>
    <w:rsid w:val="0048583A"/>
    <w:rsid w:val="004C2743"/>
    <w:rsid w:val="004E1C88"/>
    <w:rsid w:val="0054174D"/>
    <w:rsid w:val="00544A52"/>
    <w:rsid w:val="005762C0"/>
    <w:rsid w:val="005E24FE"/>
    <w:rsid w:val="005F0815"/>
    <w:rsid w:val="006C409D"/>
    <w:rsid w:val="0071769B"/>
    <w:rsid w:val="00740E93"/>
    <w:rsid w:val="00763346"/>
    <w:rsid w:val="00781AD8"/>
    <w:rsid w:val="00784DD1"/>
    <w:rsid w:val="007F2DA6"/>
    <w:rsid w:val="007F75ED"/>
    <w:rsid w:val="008767F0"/>
    <w:rsid w:val="008B0C51"/>
    <w:rsid w:val="009D6714"/>
    <w:rsid w:val="009E7C1B"/>
    <w:rsid w:val="009F593D"/>
    <w:rsid w:val="00A0046E"/>
    <w:rsid w:val="00A04EBD"/>
    <w:rsid w:val="00A30853"/>
    <w:rsid w:val="00A45A7F"/>
    <w:rsid w:val="00AB1EE8"/>
    <w:rsid w:val="00B34246"/>
    <w:rsid w:val="00B47DF3"/>
    <w:rsid w:val="00B648BC"/>
    <w:rsid w:val="00BD0DAF"/>
    <w:rsid w:val="00C06950"/>
    <w:rsid w:val="00C226BA"/>
    <w:rsid w:val="00C80DD4"/>
    <w:rsid w:val="00C95A96"/>
    <w:rsid w:val="00CA0123"/>
    <w:rsid w:val="00CE59AA"/>
    <w:rsid w:val="00CF25F9"/>
    <w:rsid w:val="00D07171"/>
    <w:rsid w:val="00D11F86"/>
    <w:rsid w:val="00D15114"/>
    <w:rsid w:val="00D77DF5"/>
    <w:rsid w:val="00D86047"/>
    <w:rsid w:val="00DA2FEA"/>
    <w:rsid w:val="00DC09C7"/>
    <w:rsid w:val="00DC1DF8"/>
    <w:rsid w:val="00DD0137"/>
    <w:rsid w:val="00DF7760"/>
    <w:rsid w:val="00E13347"/>
    <w:rsid w:val="00E32C1B"/>
    <w:rsid w:val="00E60B2F"/>
    <w:rsid w:val="00E95848"/>
    <w:rsid w:val="00EC7A08"/>
    <w:rsid w:val="00ED03CF"/>
    <w:rsid w:val="00EF0AB2"/>
    <w:rsid w:val="00F10DC2"/>
    <w:rsid w:val="00F352B5"/>
    <w:rsid w:val="00FB410F"/>
    <w:rsid w:val="00FE4437"/>
    <w:rsid w:val="00FF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9A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6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67F0"/>
    <w:rPr>
      <w:rFonts w:ascii="Times New Roman" w:eastAsia="Times New Roman" w:hAnsi="Times New Roman" w:cs="Times New Roman"/>
      <w:sz w:val="24"/>
      <w:szCs w:val="24"/>
    </w:rPr>
  </w:style>
  <w:style w:type="table" w:styleId="TableContemporary">
    <w:name w:val="Table Contemporary"/>
    <w:basedOn w:val="TableNormal"/>
    <w:uiPriority w:val="99"/>
    <w:rsid w:val="00043C33"/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1A38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C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9C7"/>
  </w:style>
  <w:style w:type="character" w:customStyle="1" w:styleId="Heading4Char">
    <w:name w:val="Heading 4 Char"/>
    <w:basedOn w:val="DefaultParagraphFont"/>
    <w:link w:val="Heading4"/>
    <w:uiPriority w:val="9"/>
    <w:rsid w:val="00CE59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1E29"/>
  </w:style>
  <w:style w:type="table" w:styleId="LightList-Accent5">
    <w:name w:val="Light List Accent 5"/>
    <w:basedOn w:val="TableNormal"/>
    <w:uiPriority w:val="61"/>
    <w:rsid w:val="0029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rsid w:val="00DF7760"/>
    <w:rPr>
      <w:rFonts w:ascii="Trebuchet MS" w:hAnsi="Trebuchet MS"/>
      <w:color w:val="0000FF"/>
      <w:sz w:val="20"/>
      <w:u w:val="single"/>
    </w:rPr>
  </w:style>
  <w:style w:type="paragraph" w:customStyle="1" w:styleId="NoSpacing1">
    <w:name w:val="No Spacing1"/>
    <w:uiPriority w:val="1"/>
    <w:qFormat/>
    <w:rsid w:val="00DF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DF7760"/>
  </w:style>
  <w:style w:type="paragraph" w:styleId="NoSpacing">
    <w:name w:val="No Spacing"/>
    <w:uiPriority w:val="1"/>
    <w:qFormat/>
    <w:rsid w:val="00CA0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9A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6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67F0"/>
    <w:rPr>
      <w:rFonts w:ascii="Times New Roman" w:eastAsia="Times New Roman" w:hAnsi="Times New Roman" w:cs="Times New Roman"/>
      <w:sz w:val="24"/>
      <w:szCs w:val="24"/>
    </w:rPr>
  </w:style>
  <w:style w:type="table" w:styleId="TableContemporary">
    <w:name w:val="Table Contemporary"/>
    <w:basedOn w:val="TableNormal"/>
    <w:uiPriority w:val="99"/>
    <w:rsid w:val="00043C33"/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1A38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C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9C7"/>
  </w:style>
  <w:style w:type="character" w:customStyle="1" w:styleId="Heading4Char">
    <w:name w:val="Heading 4 Char"/>
    <w:basedOn w:val="DefaultParagraphFont"/>
    <w:link w:val="Heading4"/>
    <w:uiPriority w:val="9"/>
    <w:rsid w:val="00CE59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1E29"/>
  </w:style>
  <w:style w:type="table" w:styleId="LightList-Accent5">
    <w:name w:val="Light List Accent 5"/>
    <w:basedOn w:val="TableNormal"/>
    <w:uiPriority w:val="61"/>
    <w:rsid w:val="0029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rsid w:val="00DF7760"/>
    <w:rPr>
      <w:rFonts w:ascii="Trebuchet MS" w:hAnsi="Trebuchet MS"/>
      <w:color w:val="0000FF"/>
      <w:sz w:val="20"/>
      <w:u w:val="single"/>
    </w:rPr>
  </w:style>
  <w:style w:type="paragraph" w:customStyle="1" w:styleId="NoSpacing1">
    <w:name w:val="No Spacing1"/>
    <w:uiPriority w:val="1"/>
    <w:qFormat/>
    <w:rsid w:val="00DF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DF7760"/>
  </w:style>
  <w:style w:type="paragraph" w:styleId="NoSpacing">
    <w:name w:val="No Spacing"/>
    <w:uiPriority w:val="1"/>
    <w:qFormat/>
    <w:rsid w:val="00CA0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Nuštar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Nuštar</dc:creator>
  <cp:lastModifiedBy>Vaclavek</cp:lastModifiedBy>
  <cp:revision>2</cp:revision>
  <cp:lastPrinted>2016-03-17T07:46:00Z</cp:lastPrinted>
  <dcterms:created xsi:type="dcterms:W3CDTF">2018-03-20T16:06:00Z</dcterms:created>
  <dcterms:modified xsi:type="dcterms:W3CDTF">2018-03-20T16:06:00Z</dcterms:modified>
</cp:coreProperties>
</file>